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C5D8" w14:textId="1EC3B823" w:rsidR="00370433" w:rsidRDefault="0086041A" w:rsidP="00370433">
      <w:pPr>
        <w:rPr>
          <w:b/>
          <w:bCs/>
          <w:color w:val="006600"/>
          <w:sz w:val="24"/>
        </w:rPr>
      </w:pPr>
      <w:r>
        <w:rPr>
          <w:b/>
          <w:bCs/>
          <w:color w:val="006600"/>
          <w:sz w:val="24"/>
        </w:rPr>
        <w:t>Payroll</w:t>
      </w:r>
      <w:r w:rsidR="001F750A">
        <w:rPr>
          <w:b/>
          <w:bCs/>
          <w:color w:val="006600"/>
          <w:sz w:val="24"/>
        </w:rPr>
        <w:t xml:space="preserve"> Common Problems and Errors Checklist</w:t>
      </w:r>
    </w:p>
    <w:p w14:paraId="5A4F07F4" w14:textId="44DAE7FA" w:rsidR="000B2352" w:rsidRDefault="004F0C43" w:rsidP="00370433">
      <w:p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Australian payroll law is notoriously complex and while we all like to think we get it right the first time, errors do happen.</w:t>
      </w:r>
      <w:r w:rsidR="006218A2">
        <w:rPr>
          <w:color w:val="404040" w:themeColor="text1" w:themeTint="BF"/>
          <w:szCs w:val="20"/>
        </w:rPr>
        <w:t xml:space="preserve"> </w:t>
      </w:r>
      <w:r w:rsidR="00D47D20">
        <w:rPr>
          <w:color w:val="404040" w:themeColor="text1" w:themeTint="BF"/>
          <w:szCs w:val="20"/>
        </w:rPr>
        <w:t xml:space="preserve">Whether you are reviewing your own work or another bookkeeper’s work, </w:t>
      </w:r>
      <w:r w:rsidR="00FF32E1">
        <w:rPr>
          <w:color w:val="404040" w:themeColor="text1" w:themeTint="BF"/>
          <w:szCs w:val="20"/>
        </w:rPr>
        <w:t>payroll figures are especially important to reconcile and verify.</w:t>
      </w:r>
    </w:p>
    <w:p w14:paraId="4E98583B" w14:textId="6F80B302" w:rsidR="000B2352" w:rsidRDefault="007905AC" w:rsidP="00370433">
      <w:p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 xml:space="preserve">Reconciliation errors </w:t>
      </w:r>
      <w:r w:rsidR="00D93DA8">
        <w:rPr>
          <w:color w:val="404040" w:themeColor="text1" w:themeTint="BF"/>
          <w:szCs w:val="20"/>
        </w:rPr>
        <w:t xml:space="preserve">commonly </w:t>
      </w:r>
      <w:r>
        <w:rPr>
          <w:color w:val="404040" w:themeColor="text1" w:themeTint="BF"/>
          <w:szCs w:val="20"/>
        </w:rPr>
        <w:t xml:space="preserve">occur when payroll has not been processed correctly, journals have been posted </w:t>
      </w:r>
      <w:r w:rsidR="00D93DA8">
        <w:rPr>
          <w:color w:val="404040" w:themeColor="text1" w:themeTint="BF"/>
          <w:szCs w:val="20"/>
        </w:rPr>
        <w:t xml:space="preserve">directly </w:t>
      </w:r>
      <w:r>
        <w:rPr>
          <w:color w:val="404040" w:themeColor="text1" w:themeTint="BF"/>
          <w:szCs w:val="20"/>
        </w:rPr>
        <w:t xml:space="preserve">to </w:t>
      </w:r>
      <w:r w:rsidR="00D93DA8">
        <w:rPr>
          <w:color w:val="404040" w:themeColor="text1" w:themeTint="BF"/>
          <w:szCs w:val="20"/>
        </w:rPr>
        <w:t xml:space="preserve">payroll accounts, </w:t>
      </w:r>
      <w:r w:rsidR="00DB37ED">
        <w:rPr>
          <w:color w:val="404040" w:themeColor="text1" w:themeTint="BF"/>
          <w:szCs w:val="20"/>
        </w:rPr>
        <w:t xml:space="preserve">and </w:t>
      </w:r>
      <w:r w:rsidR="00D93DA8">
        <w:rPr>
          <w:color w:val="404040" w:themeColor="text1" w:themeTint="BF"/>
          <w:szCs w:val="20"/>
        </w:rPr>
        <w:t xml:space="preserve">BAS </w:t>
      </w:r>
      <w:r w:rsidR="00DB37ED">
        <w:rPr>
          <w:color w:val="404040" w:themeColor="text1" w:themeTint="BF"/>
          <w:szCs w:val="20"/>
        </w:rPr>
        <w:t xml:space="preserve">or IAS </w:t>
      </w:r>
      <w:r w:rsidR="00D93DA8">
        <w:rPr>
          <w:color w:val="404040" w:themeColor="text1" w:themeTint="BF"/>
          <w:szCs w:val="20"/>
        </w:rPr>
        <w:t>payments have been allocated to incorrect general ledger accounts</w:t>
      </w:r>
      <w:r w:rsidR="00DB37ED">
        <w:rPr>
          <w:color w:val="404040" w:themeColor="text1" w:themeTint="BF"/>
          <w:szCs w:val="20"/>
        </w:rPr>
        <w:t>.</w:t>
      </w:r>
    </w:p>
    <w:p w14:paraId="376034C2" w14:textId="5CE8525B" w:rsidR="004070D2" w:rsidRDefault="00502CEA" w:rsidP="00370433">
      <w:p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 xml:space="preserve">Payroll accounts should be reconciled prior to completing a BAS or IAS and prior to financial year end. </w:t>
      </w:r>
    </w:p>
    <w:p w14:paraId="57AC55F5" w14:textId="0286CF52" w:rsidR="00544AE1" w:rsidRDefault="00544AE1" w:rsidP="00370433">
      <w:p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 xml:space="preserve">Reconciling </w:t>
      </w:r>
      <w:r w:rsidR="00C56AC0">
        <w:rPr>
          <w:color w:val="404040" w:themeColor="text1" w:themeTint="BF"/>
          <w:szCs w:val="20"/>
        </w:rPr>
        <w:t xml:space="preserve">the balance sheet </w:t>
      </w:r>
      <w:r>
        <w:rPr>
          <w:color w:val="404040" w:themeColor="text1" w:themeTint="BF"/>
          <w:szCs w:val="20"/>
        </w:rPr>
        <w:t xml:space="preserve">monthly is good practice, but </w:t>
      </w:r>
      <w:r w:rsidR="00DA2AD7">
        <w:rPr>
          <w:color w:val="404040" w:themeColor="text1" w:themeTint="BF"/>
          <w:szCs w:val="20"/>
        </w:rPr>
        <w:t xml:space="preserve">it should be done </w:t>
      </w:r>
      <w:r>
        <w:rPr>
          <w:color w:val="404040" w:themeColor="text1" w:themeTint="BF"/>
          <w:szCs w:val="20"/>
        </w:rPr>
        <w:t xml:space="preserve">quarterly </w:t>
      </w:r>
      <w:r w:rsidR="00DA2AD7">
        <w:rPr>
          <w:color w:val="404040" w:themeColor="text1" w:themeTint="BF"/>
          <w:szCs w:val="20"/>
        </w:rPr>
        <w:t>at</w:t>
      </w:r>
      <w:r>
        <w:rPr>
          <w:color w:val="404040" w:themeColor="text1" w:themeTint="BF"/>
          <w:szCs w:val="20"/>
        </w:rPr>
        <w:t xml:space="preserve"> minimum</w:t>
      </w:r>
      <w:r w:rsidR="00C56AC0">
        <w:rPr>
          <w:color w:val="404040" w:themeColor="text1" w:themeTint="BF"/>
          <w:szCs w:val="20"/>
        </w:rPr>
        <w:t xml:space="preserve"> to avoid compounding problems.</w:t>
      </w:r>
    </w:p>
    <w:p w14:paraId="17092D68" w14:textId="77777777" w:rsidR="00DA2AD7" w:rsidRDefault="00DA2AD7" w:rsidP="00370433">
      <w:pPr>
        <w:rPr>
          <w:color w:val="404040" w:themeColor="text1" w:themeTint="BF"/>
          <w:szCs w:val="20"/>
        </w:rPr>
      </w:pPr>
    </w:p>
    <w:p w14:paraId="09752D19" w14:textId="0C951100" w:rsidR="004070D2" w:rsidRPr="004070D2" w:rsidRDefault="004070D2" w:rsidP="00370433">
      <w:pPr>
        <w:rPr>
          <w:b/>
          <w:bCs/>
          <w:color w:val="404040" w:themeColor="text1" w:themeTint="BF"/>
          <w:szCs w:val="20"/>
        </w:rPr>
      </w:pPr>
      <w:r w:rsidRPr="004070D2">
        <w:rPr>
          <w:b/>
          <w:bCs/>
          <w:color w:val="404040" w:themeColor="text1" w:themeTint="BF"/>
          <w:szCs w:val="20"/>
        </w:rPr>
        <w:t>Payroll Processing Errors</w:t>
      </w:r>
    </w:p>
    <w:p w14:paraId="41B43263" w14:textId="14461AE3" w:rsidR="00B77C4F" w:rsidRDefault="00DB37ED" w:rsidP="00370433">
      <w:p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 xml:space="preserve">Processing errors </w:t>
      </w:r>
      <w:r w:rsidR="00342B43">
        <w:rPr>
          <w:color w:val="404040" w:themeColor="text1" w:themeTint="BF"/>
          <w:szCs w:val="20"/>
        </w:rPr>
        <w:t xml:space="preserve">often occur when employers look after the payroll themselves. </w:t>
      </w:r>
      <w:r w:rsidR="004070D2">
        <w:rPr>
          <w:color w:val="404040" w:themeColor="text1" w:themeTint="BF"/>
          <w:szCs w:val="20"/>
        </w:rPr>
        <w:t>As a</w:t>
      </w:r>
      <w:r w:rsidR="009B266C">
        <w:rPr>
          <w:color w:val="404040" w:themeColor="text1" w:themeTint="BF"/>
          <w:szCs w:val="20"/>
        </w:rPr>
        <w:t>n accounting technician or</w:t>
      </w:r>
      <w:r w:rsidR="004070D2">
        <w:rPr>
          <w:color w:val="404040" w:themeColor="text1" w:themeTint="BF"/>
          <w:szCs w:val="20"/>
        </w:rPr>
        <w:t xml:space="preserve"> BAS agent, you may need to review the payroll of a client when you have not been involved in any of the processing. </w:t>
      </w:r>
    </w:p>
    <w:p w14:paraId="3A25DED4" w14:textId="3BD3A6D6" w:rsidR="0087596B" w:rsidRDefault="004070D2" w:rsidP="00370433">
      <w:p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What should you look out for?</w:t>
      </w:r>
    </w:p>
    <w:p w14:paraId="160AC942" w14:textId="6B3D767A" w:rsidR="007D2E19" w:rsidRDefault="007D2E19" w:rsidP="00DA2AD7">
      <w:pPr>
        <w:pStyle w:val="ListParagraph"/>
        <w:numPr>
          <w:ilvl w:val="0"/>
          <w:numId w:val="1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Making</w:t>
      </w:r>
      <w:r w:rsidR="0087596B" w:rsidRPr="00DA2AD7">
        <w:rPr>
          <w:color w:val="404040" w:themeColor="text1" w:themeTint="BF"/>
          <w:szCs w:val="20"/>
        </w:rPr>
        <w:t xml:space="preserve"> up their own rules, </w:t>
      </w:r>
      <w:r>
        <w:rPr>
          <w:color w:val="404040" w:themeColor="text1" w:themeTint="BF"/>
          <w:szCs w:val="20"/>
        </w:rPr>
        <w:t xml:space="preserve">either because they have not checked the award, or they don’t understand, or they are </w:t>
      </w:r>
      <w:r w:rsidR="00D240B0">
        <w:rPr>
          <w:color w:val="404040" w:themeColor="text1" w:themeTint="BF"/>
          <w:szCs w:val="20"/>
        </w:rPr>
        <w:t>following</w:t>
      </w:r>
      <w:r>
        <w:rPr>
          <w:color w:val="404040" w:themeColor="text1" w:themeTint="BF"/>
          <w:szCs w:val="20"/>
        </w:rPr>
        <w:t xml:space="preserve"> advice from an unqualified person.</w:t>
      </w:r>
    </w:p>
    <w:p w14:paraId="2FF7179D" w14:textId="67DB9C45" w:rsidR="00FB09EB" w:rsidRDefault="00FB09EB" w:rsidP="00DA2AD7">
      <w:pPr>
        <w:pStyle w:val="ListParagraph"/>
        <w:numPr>
          <w:ilvl w:val="0"/>
          <w:numId w:val="1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 xml:space="preserve">Misclassifying workers. It is the employer’s obligation to classify workers correctly, whether casual, permanent or contractor. </w:t>
      </w:r>
    </w:p>
    <w:p w14:paraId="7EC48570" w14:textId="61EE0A26" w:rsidR="007D2E19" w:rsidRDefault="00D240B0" w:rsidP="00DA2AD7">
      <w:pPr>
        <w:pStyle w:val="ListParagraph"/>
        <w:numPr>
          <w:ilvl w:val="0"/>
          <w:numId w:val="1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 xml:space="preserve">Employers often don’t realise there are different types of termination </w:t>
      </w:r>
      <w:r w:rsidR="006E4B73">
        <w:rPr>
          <w:color w:val="404040" w:themeColor="text1" w:themeTint="BF"/>
          <w:szCs w:val="20"/>
        </w:rPr>
        <w:t>and classify the payments wrongly. This can result in incorrect tax and super or underpayment of final pay entitlements.</w:t>
      </w:r>
    </w:p>
    <w:p w14:paraId="3165FD63" w14:textId="3AE0D43C" w:rsidR="006E4B73" w:rsidRDefault="00B77C4F" w:rsidP="00DA2AD7">
      <w:pPr>
        <w:pStyle w:val="ListParagraph"/>
        <w:numPr>
          <w:ilvl w:val="0"/>
          <w:numId w:val="1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Not accruing or paying entitlements correctly.</w:t>
      </w:r>
    </w:p>
    <w:p w14:paraId="5E3ACC93" w14:textId="6B509FA1" w:rsidR="00B77C4F" w:rsidRDefault="00B77C4F" w:rsidP="00DA2AD7">
      <w:pPr>
        <w:pStyle w:val="ListParagraph"/>
        <w:numPr>
          <w:ilvl w:val="0"/>
          <w:numId w:val="1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Not paying overtime when due.</w:t>
      </w:r>
    </w:p>
    <w:p w14:paraId="0F08C739" w14:textId="6F1B6D0F" w:rsidR="00B77C4F" w:rsidRDefault="00B77C4F" w:rsidP="00DA2AD7">
      <w:pPr>
        <w:pStyle w:val="ListParagraph"/>
        <w:numPr>
          <w:ilvl w:val="0"/>
          <w:numId w:val="1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Not tracking hours worked</w:t>
      </w:r>
      <w:r w:rsidR="00117776">
        <w:rPr>
          <w:color w:val="404040" w:themeColor="text1" w:themeTint="BF"/>
          <w:szCs w:val="20"/>
        </w:rPr>
        <w:t>.</w:t>
      </w:r>
    </w:p>
    <w:p w14:paraId="0A33C566" w14:textId="6EFAD69E" w:rsidR="006112E4" w:rsidRDefault="00A072B0" w:rsidP="00DA2AD7">
      <w:pPr>
        <w:pStyle w:val="ListParagraph"/>
        <w:numPr>
          <w:ilvl w:val="0"/>
          <w:numId w:val="1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 xml:space="preserve">Paying extra amounts outside payroll and therefore not taxing the payments or </w:t>
      </w:r>
      <w:r w:rsidR="00626332">
        <w:rPr>
          <w:color w:val="404040" w:themeColor="text1" w:themeTint="BF"/>
          <w:szCs w:val="20"/>
        </w:rPr>
        <w:t>allowing for superannuation.</w:t>
      </w:r>
    </w:p>
    <w:p w14:paraId="28085A25" w14:textId="0F4E83D7" w:rsidR="00626332" w:rsidRDefault="00626332" w:rsidP="00DA2AD7">
      <w:pPr>
        <w:pStyle w:val="ListParagraph"/>
        <w:numPr>
          <w:ilvl w:val="0"/>
          <w:numId w:val="1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Unpaid</w:t>
      </w:r>
      <w:r w:rsidR="0039473B">
        <w:rPr>
          <w:color w:val="404040" w:themeColor="text1" w:themeTint="BF"/>
          <w:szCs w:val="20"/>
        </w:rPr>
        <w:t xml:space="preserve">, partially </w:t>
      </w:r>
      <w:proofErr w:type="gramStart"/>
      <w:r w:rsidR="0039473B">
        <w:rPr>
          <w:color w:val="404040" w:themeColor="text1" w:themeTint="BF"/>
          <w:szCs w:val="20"/>
        </w:rPr>
        <w:t>paid</w:t>
      </w:r>
      <w:proofErr w:type="gramEnd"/>
      <w:r w:rsidR="0039473B">
        <w:rPr>
          <w:color w:val="404040" w:themeColor="text1" w:themeTint="BF"/>
          <w:szCs w:val="20"/>
        </w:rPr>
        <w:t xml:space="preserve"> or incorrect </w:t>
      </w:r>
      <w:r>
        <w:rPr>
          <w:color w:val="404040" w:themeColor="text1" w:themeTint="BF"/>
          <w:szCs w:val="20"/>
        </w:rPr>
        <w:t>superannuation.</w:t>
      </w:r>
    </w:p>
    <w:p w14:paraId="43978300" w14:textId="4DDF577D" w:rsidR="00117776" w:rsidRDefault="00AE283D" w:rsidP="00DA2AD7">
      <w:pPr>
        <w:pStyle w:val="ListParagraph"/>
        <w:numPr>
          <w:ilvl w:val="0"/>
          <w:numId w:val="1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 xml:space="preserve">Missing payroll payment schedules, </w:t>
      </w:r>
      <w:r w:rsidR="00FB09EB">
        <w:rPr>
          <w:color w:val="404040" w:themeColor="text1" w:themeTint="BF"/>
          <w:szCs w:val="20"/>
        </w:rPr>
        <w:t>which affects</w:t>
      </w:r>
      <w:r>
        <w:rPr>
          <w:color w:val="404040" w:themeColor="text1" w:themeTint="BF"/>
          <w:szCs w:val="20"/>
        </w:rPr>
        <w:t xml:space="preserve"> reconcil</w:t>
      </w:r>
      <w:r w:rsidR="00FB09EB">
        <w:rPr>
          <w:color w:val="404040" w:themeColor="text1" w:themeTint="BF"/>
          <w:szCs w:val="20"/>
        </w:rPr>
        <w:t>iation of</w:t>
      </w:r>
      <w:r>
        <w:rPr>
          <w:color w:val="404040" w:themeColor="text1" w:themeTint="BF"/>
          <w:szCs w:val="20"/>
        </w:rPr>
        <w:t xml:space="preserve"> the payments to the pay run</w:t>
      </w:r>
      <w:r w:rsidR="00FB09EB">
        <w:rPr>
          <w:color w:val="404040" w:themeColor="text1" w:themeTint="BF"/>
          <w:szCs w:val="20"/>
        </w:rPr>
        <w:t>.</w:t>
      </w:r>
    </w:p>
    <w:p w14:paraId="0C2C43A9" w14:textId="1608AB80" w:rsidR="00FB09EB" w:rsidRDefault="00FB09EB" w:rsidP="00DA2AD7">
      <w:pPr>
        <w:pStyle w:val="ListParagraph"/>
        <w:numPr>
          <w:ilvl w:val="0"/>
          <w:numId w:val="1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Single Touch Payroll not set up correctly or not being filed with the ATO.</w:t>
      </w:r>
    </w:p>
    <w:p w14:paraId="65A81966" w14:textId="7D199748" w:rsidR="001D18B1" w:rsidRDefault="001D18B1" w:rsidP="00DA2AD7">
      <w:pPr>
        <w:pStyle w:val="ListParagraph"/>
        <w:numPr>
          <w:ilvl w:val="0"/>
          <w:numId w:val="1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 xml:space="preserve">Not accounting correctly for </w:t>
      </w:r>
      <w:r w:rsidR="00B2550B">
        <w:rPr>
          <w:color w:val="404040" w:themeColor="text1" w:themeTint="BF"/>
          <w:szCs w:val="20"/>
        </w:rPr>
        <w:t xml:space="preserve">unusual payments like parental leave, child support or </w:t>
      </w:r>
      <w:r>
        <w:rPr>
          <w:color w:val="404040" w:themeColor="text1" w:themeTint="BF"/>
          <w:szCs w:val="20"/>
        </w:rPr>
        <w:t>workers compensation.</w:t>
      </w:r>
    </w:p>
    <w:p w14:paraId="50E8B993" w14:textId="797B44E6" w:rsidR="00EC5A6B" w:rsidRDefault="001D18B1" w:rsidP="00CF762A">
      <w:pPr>
        <w:pStyle w:val="ListParagraph"/>
        <w:numPr>
          <w:ilvl w:val="0"/>
          <w:numId w:val="1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 xml:space="preserve">Not taxing </w:t>
      </w:r>
      <w:r w:rsidR="00164FB3">
        <w:rPr>
          <w:color w:val="404040" w:themeColor="text1" w:themeTint="BF"/>
          <w:szCs w:val="20"/>
        </w:rPr>
        <w:t>bonus or commission payments.</w:t>
      </w:r>
    </w:p>
    <w:p w14:paraId="090F16DB" w14:textId="72DE483C" w:rsidR="00F0214F" w:rsidRPr="00CF762A" w:rsidRDefault="00D05A3D" w:rsidP="00CF762A">
      <w:pPr>
        <w:pStyle w:val="ListParagraph"/>
        <w:numPr>
          <w:ilvl w:val="0"/>
          <w:numId w:val="1"/>
        </w:num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Making unlawful deductions from payroll payments.</w:t>
      </w:r>
    </w:p>
    <w:p w14:paraId="55C45678" w14:textId="180479E6" w:rsidR="00CA2C37" w:rsidRPr="00903499" w:rsidRDefault="0002068E" w:rsidP="00370433">
      <w:pPr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Many of</w:t>
      </w:r>
      <w:r w:rsidR="0040364B">
        <w:rPr>
          <w:color w:val="404040" w:themeColor="text1" w:themeTint="BF"/>
          <w:szCs w:val="20"/>
        </w:rPr>
        <w:t xml:space="preserve"> these processing errors could affect payroll </w:t>
      </w:r>
      <w:r w:rsidR="001D18B1">
        <w:rPr>
          <w:color w:val="404040" w:themeColor="text1" w:themeTint="BF"/>
          <w:szCs w:val="20"/>
        </w:rPr>
        <w:t xml:space="preserve">accounts </w:t>
      </w:r>
      <w:r w:rsidR="0040364B">
        <w:rPr>
          <w:color w:val="404040" w:themeColor="text1" w:themeTint="BF"/>
          <w:szCs w:val="20"/>
        </w:rPr>
        <w:t xml:space="preserve">reconciliation. </w:t>
      </w:r>
    </w:p>
    <w:tbl>
      <w:tblPr>
        <w:tblStyle w:val="SoftPub"/>
        <w:tblW w:w="5151" w:type="pct"/>
        <w:tblInd w:w="-145" w:type="dxa"/>
        <w:tblLook w:val="04A0" w:firstRow="1" w:lastRow="0" w:firstColumn="1" w:lastColumn="0" w:noHBand="0" w:noVBand="1"/>
      </w:tblPr>
      <w:tblGrid>
        <w:gridCol w:w="6198"/>
        <w:gridCol w:w="3725"/>
      </w:tblGrid>
      <w:tr w:rsidR="00FE5D4A" w:rsidRPr="00911385" w14:paraId="2AFCACA7" w14:textId="77777777" w:rsidTr="000D3A26">
        <w:tc>
          <w:tcPr>
            <w:tcW w:w="3123" w:type="pct"/>
            <w:shd w:val="clear" w:color="auto" w:fill="E7E6E6" w:themeFill="background2"/>
            <w:hideMark/>
          </w:tcPr>
          <w:p w14:paraId="3A9AC15E" w14:textId="237615D4" w:rsidR="00FE5D4A" w:rsidRPr="005671F5" w:rsidRDefault="009C559F" w:rsidP="00C053CE">
            <w:pPr>
              <w:rPr>
                <w:b/>
                <w:bCs/>
                <w:color w:val="006600"/>
                <w:lang w:eastAsia="en-AU"/>
              </w:rPr>
            </w:pPr>
            <w:r>
              <w:rPr>
                <w:b/>
                <w:bCs/>
                <w:color w:val="006600"/>
                <w:lang w:eastAsia="en-AU"/>
              </w:rPr>
              <w:t xml:space="preserve">Reconciliation </w:t>
            </w:r>
            <w:r w:rsidR="00FE5D4A">
              <w:rPr>
                <w:b/>
                <w:bCs/>
                <w:color w:val="006600"/>
                <w:lang w:eastAsia="en-AU"/>
              </w:rPr>
              <w:t>Task</w:t>
            </w:r>
          </w:p>
        </w:tc>
        <w:tc>
          <w:tcPr>
            <w:tcW w:w="1877" w:type="pct"/>
            <w:shd w:val="clear" w:color="auto" w:fill="E7E6E6" w:themeFill="background2"/>
            <w:hideMark/>
          </w:tcPr>
          <w:p w14:paraId="5DF8FB14" w14:textId="369074E4" w:rsidR="00FE5D4A" w:rsidRPr="00020C7F" w:rsidRDefault="00FE5D4A" w:rsidP="00C053CE">
            <w:pPr>
              <w:rPr>
                <w:b/>
                <w:bCs/>
                <w:color w:val="006600"/>
                <w:lang w:eastAsia="en-AU"/>
              </w:rPr>
            </w:pPr>
            <w:r>
              <w:rPr>
                <w:b/>
                <w:bCs/>
                <w:color w:val="006600"/>
                <w:lang w:eastAsia="en-AU"/>
              </w:rPr>
              <w:t>Notes</w:t>
            </w:r>
          </w:p>
        </w:tc>
      </w:tr>
      <w:tr w:rsidR="00FE5D4A" w:rsidRPr="00911385" w14:paraId="26C4780A" w14:textId="77777777" w:rsidTr="000D3A26">
        <w:trPr>
          <w:tblHeader w:val="0"/>
        </w:trPr>
        <w:tc>
          <w:tcPr>
            <w:tcW w:w="3123" w:type="pct"/>
          </w:tcPr>
          <w:p w14:paraId="3A784415" w14:textId="1A5BB072" w:rsidR="00AD0369" w:rsidRPr="005671F5" w:rsidRDefault="00C02A8C" w:rsidP="002575F9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Compare </w:t>
            </w:r>
            <w:r w:rsidR="00C10B03">
              <w:rPr>
                <w:lang w:eastAsia="en-AU"/>
              </w:rPr>
              <w:t xml:space="preserve">previously </w:t>
            </w:r>
            <w:r>
              <w:rPr>
                <w:lang w:eastAsia="en-AU"/>
              </w:rPr>
              <w:t xml:space="preserve">lodged </w:t>
            </w:r>
            <w:r w:rsidR="00AD0369">
              <w:rPr>
                <w:lang w:eastAsia="en-AU"/>
              </w:rPr>
              <w:t>W1 and W2 figures</w:t>
            </w:r>
            <w:r>
              <w:rPr>
                <w:lang w:eastAsia="en-AU"/>
              </w:rPr>
              <w:t xml:space="preserve"> to current reporting and note discrepancies</w:t>
            </w:r>
            <w:r w:rsidR="00C10B03">
              <w:rPr>
                <w:lang w:eastAsia="en-AU"/>
              </w:rPr>
              <w:t>.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1877" w:type="pct"/>
          </w:tcPr>
          <w:p w14:paraId="32D8A30F" w14:textId="42C4607B" w:rsidR="00FE5D4A" w:rsidRPr="0063247A" w:rsidRDefault="00FE5D4A" w:rsidP="002575F9">
            <w:pPr>
              <w:ind w:left="720"/>
              <w:rPr>
                <w:rFonts w:cs="Arial"/>
                <w:szCs w:val="20"/>
                <w:lang w:eastAsia="en-AU"/>
              </w:rPr>
            </w:pPr>
          </w:p>
        </w:tc>
      </w:tr>
      <w:tr w:rsidR="002575F9" w:rsidRPr="00911385" w14:paraId="59936167" w14:textId="77777777" w:rsidTr="000D3A26">
        <w:trPr>
          <w:tblHeader w:val="0"/>
        </w:trPr>
        <w:tc>
          <w:tcPr>
            <w:tcW w:w="3123" w:type="pct"/>
          </w:tcPr>
          <w:p w14:paraId="0862A27B" w14:textId="060C8716" w:rsidR="002575F9" w:rsidRDefault="002575F9" w:rsidP="00C053CE">
            <w:p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Revise BASs that have been lodged with incorrect payroll figures.</w:t>
            </w:r>
          </w:p>
        </w:tc>
        <w:tc>
          <w:tcPr>
            <w:tcW w:w="1877" w:type="pct"/>
          </w:tcPr>
          <w:p w14:paraId="4AFFFCD5" w14:textId="77777777" w:rsidR="002575F9" w:rsidRPr="0063247A" w:rsidRDefault="002575F9" w:rsidP="00C053CE">
            <w:pPr>
              <w:rPr>
                <w:rFonts w:cs="Arial"/>
                <w:szCs w:val="20"/>
              </w:rPr>
            </w:pPr>
          </w:p>
        </w:tc>
      </w:tr>
      <w:tr w:rsidR="00FE5D4A" w:rsidRPr="00911385" w14:paraId="3832AAB6" w14:textId="77777777" w:rsidTr="000D3A26">
        <w:trPr>
          <w:tblHeader w:val="0"/>
        </w:trPr>
        <w:tc>
          <w:tcPr>
            <w:tcW w:w="3123" w:type="pct"/>
          </w:tcPr>
          <w:p w14:paraId="22B00018" w14:textId="75B0CE48" w:rsidR="00FE5D4A" w:rsidRPr="005671F5" w:rsidRDefault="006A1A55" w:rsidP="00C053CE">
            <w:pPr>
              <w:rPr>
                <w:lang w:eastAsia="en-AU"/>
              </w:rPr>
            </w:pPr>
            <w:r>
              <w:rPr>
                <w:lang w:eastAsia="en-AU"/>
              </w:rPr>
              <w:t>Reconcile wages payable – are there over or under payments</w:t>
            </w:r>
            <w:r w:rsidR="006218A2">
              <w:rPr>
                <w:lang w:eastAsia="en-AU"/>
              </w:rPr>
              <w:t>?</w:t>
            </w:r>
          </w:p>
        </w:tc>
        <w:tc>
          <w:tcPr>
            <w:tcW w:w="1877" w:type="pct"/>
          </w:tcPr>
          <w:p w14:paraId="55004D2B" w14:textId="02B61A71" w:rsidR="00FE5D4A" w:rsidRPr="0063247A" w:rsidRDefault="00FE5D4A" w:rsidP="00C053CE">
            <w:pPr>
              <w:rPr>
                <w:rFonts w:cs="Arial"/>
                <w:szCs w:val="20"/>
              </w:rPr>
            </w:pPr>
          </w:p>
        </w:tc>
      </w:tr>
      <w:tr w:rsidR="00FE5D4A" w:rsidRPr="00911385" w14:paraId="01FA26E9" w14:textId="77777777" w:rsidTr="000D3A26">
        <w:trPr>
          <w:tblHeader w:val="0"/>
        </w:trPr>
        <w:tc>
          <w:tcPr>
            <w:tcW w:w="3123" w:type="pct"/>
          </w:tcPr>
          <w:p w14:paraId="5545A3A8" w14:textId="0E441CCA" w:rsidR="00FE5D4A" w:rsidRPr="005671F5" w:rsidRDefault="006218A2" w:rsidP="00C053CE">
            <w:pPr>
              <w:rPr>
                <w:lang w:eastAsia="en-AU"/>
              </w:rPr>
            </w:pPr>
            <w:r>
              <w:rPr>
                <w:lang w:eastAsia="en-AU"/>
              </w:rPr>
              <w:t>Reconcile superannuation reports to balance sheet.</w:t>
            </w:r>
          </w:p>
        </w:tc>
        <w:tc>
          <w:tcPr>
            <w:tcW w:w="1877" w:type="pct"/>
          </w:tcPr>
          <w:p w14:paraId="6BA44AFB" w14:textId="1F2106AB" w:rsidR="00FE5D4A" w:rsidRPr="0063247A" w:rsidRDefault="00FE5D4A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FE5D4A" w:rsidRPr="00911385" w14:paraId="273FEDB8" w14:textId="77777777" w:rsidTr="000D3A26">
        <w:trPr>
          <w:tblHeader w:val="0"/>
        </w:trPr>
        <w:tc>
          <w:tcPr>
            <w:tcW w:w="3123" w:type="pct"/>
          </w:tcPr>
          <w:p w14:paraId="74B35C4F" w14:textId="62AC2429" w:rsidR="00FE5D4A" w:rsidRPr="005671F5" w:rsidRDefault="00FF32E1" w:rsidP="00C053CE">
            <w:pPr>
              <w:rPr>
                <w:lang w:eastAsia="en-AU"/>
              </w:rPr>
            </w:pPr>
            <w:r>
              <w:rPr>
                <w:lang w:eastAsia="en-AU"/>
              </w:rPr>
              <w:t>Reconcile PAYGW</w:t>
            </w:r>
            <w:r w:rsidR="00501C1C">
              <w:rPr>
                <w:lang w:eastAsia="en-AU"/>
              </w:rPr>
              <w:t xml:space="preserve"> reports to balance sheet.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1877" w:type="pct"/>
          </w:tcPr>
          <w:p w14:paraId="1FE92E3A" w14:textId="510988A4" w:rsidR="00FE5D4A" w:rsidRPr="0063247A" w:rsidRDefault="00FE5D4A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FE5D4A" w:rsidRPr="00DB4034" w14:paraId="66481C1C" w14:textId="77777777" w:rsidTr="000D3A26">
        <w:trPr>
          <w:tblHeader w:val="0"/>
        </w:trPr>
        <w:tc>
          <w:tcPr>
            <w:tcW w:w="3123" w:type="pct"/>
          </w:tcPr>
          <w:p w14:paraId="34EAE07D" w14:textId="0B71BDC6" w:rsidR="00FE5D4A" w:rsidRDefault="00C77BDC" w:rsidP="00C053C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Check for </w:t>
            </w:r>
            <w:r w:rsidR="00F06118">
              <w:rPr>
                <w:lang w:eastAsia="en-AU"/>
              </w:rPr>
              <w:t>journal entries affecting wages, tax and super accounts.</w:t>
            </w:r>
          </w:p>
        </w:tc>
        <w:tc>
          <w:tcPr>
            <w:tcW w:w="1877" w:type="pct"/>
          </w:tcPr>
          <w:p w14:paraId="31B2F95F" w14:textId="75CBE719" w:rsidR="00FE5D4A" w:rsidRDefault="00FE5D4A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62327C" w:rsidRPr="00DB4034" w14:paraId="545EB1DC" w14:textId="77777777" w:rsidTr="000D3A26">
        <w:trPr>
          <w:tblHeader w:val="0"/>
        </w:trPr>
        <w:tc>
          <w:tcPr>
            <w:tcW w:w="3123" w:type="pct"/>
          </w:tcPr>
          <w:p w14:paraId="4CEC0F32" w14:textId="66108B96" w:rsidR="0062327C" w:rsidRDefault="00294B81" w:rsidP="00C053C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Check </w:t>
            </w:r>
            <w:r w:rsidR="00BD7AD1">
              <w:rPr>
                <w:lang w:eastAsia="en-AU"/>
              </w:rPr>
              <w:t>payments to workers match their classification</w:t>
            </w:r>
            <w:r w:rsidR="0002068E">
              <w:rPr>
                <w:lang w:eastAsia="en-AU"/>
              </w:rPr>
              <w:t xml:space="preserve">. For example, </w:t>
            </w:r>
            <w:r w:rsidR="00BD7AD1">
              <w:rPr>
                <w:lang w:eastAsia="en-AU"/>
              </w:rPr>
              <w:t>are casuals being paid casual penalty rates? Are part-timers being paid overtime</w:t>
            </w:r>
            <w:r w:rsidR="00EE1ABF">
              <w:rPr>
                <w:lang w:eastAsia="en-AU"/>
              </w:rPr>
              <w:t xml:space="preserve"> when required</w:t>
            </w:r>
            <w:r w:rsidR="00BD7AD1">
              <w:rPr>
                <w:lang w:eastAsia="en-AU"/>
              </w:rPr>
              <w:t xml:space="preserve">? </w:t>
            </w:r>
            <w:r w:rsidR="004C6A53">
              <w:rPr>
                <w:lang w:eastAsia="en-AU"/>
              </w:rPr>
              <w:t>Do payments to contractors match invoices?</w:t>
            </w:r>
            <w:r w:rsidR="0002068E">
              <w:rPr>
                <w:lang w:eastAsia="en-AU"/>
              </w:rPr>
              <w:t xml:space="preserve"> Are sole trader contractors being paid super if required?</w:t>
            </w:r>
          </w:p>
        </w:tc>
        <w:tc>
          <w:tcPr>
            <w:tcW w:w="1877" w:type="pct"/>
          </w:tcPr>
          <w:p w14:paraId="170FCE01" w14:textId="77777777" w:rsidR="0062327C" w:rsidRDefault="0062327C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FE5D4A" w:rsidRPr="00DB4034" w14:paraId="78AA474F" w14:textId="77777777" w:rsidTr="000D3A26">
        <w:trPr>
          <w:tblHeader w:val="0"/>
        </w:trPr>
        <w:tc>
          <w:tcPr>
            <w:tcW w:w="3123" w:type="pct"/>
          </w:tcPr>
          <w:p w14:paraId="04380636" w14:textId="36686E2A" w:rsidR="00FE5D4A" w:rsidRDefault="004C6A53" w:rsidP="00C053C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Review termination payments including the reason for termination. </w:t>
            </w:r>
            <w:r w:rsidR="00B52B5A">
              <w:rPr>
                <w:lang w:eastAsia="en-AU"/>
              </w:rPr>
              <w:t>Is the classification, tax and super correct? Is there an ETP payment that should be processed and taxed separately?</w:t>
            </w:r>
          </w:p>
        </w:tc>
        <w:tc>
          <w:tcPr>
            <w:tcW w:w="1877" w:type="pct"/>
          </w:tcPr>
          <w:p w14:paraId="745300F5" w14:textId="2A6D9D06" w:rsidR="00FE5D4A" w:rsidRDefault="00FE5D4A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FE6D34" w:rsidRPr="00DB4034" w14:paraId="416D748A" w14:textId="77777777" w:rsidTr="000D3A26">
        <w:trPr>
          <w:tblHeader w:val="0"/>
        </w:trPr>
        <w:tc>
          <w:tcPr>
            <w:tcW w:w="3123" w:type="pct"/>
          </w:tcPr>
          <w:p w14:paraId="43607E22" w14:textId="2E60B67A" w:rsidR="00FE6D34" w:rsidRDefault="00E3217F" w:rsidP="00C053C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Review </w:t>
            </w:r>
            <w:r w:rsidR="00DA4502">
              <w:rPr>
                <w:lang w:eastAsia="en-AU"/>
              </w:rPr>
              <w:t xml:space="preserve">payroll tax annual reconciliation and </w:t>
            </w:r>
            <w:r w:rsidR="001D18B1">
              <w:rPr>
                <w:lang w:eastAsia="en-AU"/>
              </w:rPr>
              <w:t xml:space="preserve">allocation of </w:t>
            </w:r>
            <w:r w:rsidR="00DA4502">
              <w:rPr>
                <w:lang w:eastAsia="en-AU"/>
              </w:rPr>
              <w:t>payments.</w:t>
            </w:r>
          </w:p>
        </w:tc>
        <w:tc>
          <w:tcPr>
            <w:tcW w:w="1877" w:type="pct"/>
          </w:tcPr>
          <w:p w14:paraId="67D3BFAE" w14:textId="77777777" w:rsidR="00FE6D34" w:rsidRDefault="00FE6D34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FE5D4A" w:rsidRPr="00DB4034" w14:paraId="77492ADA" w14:textId="77777777" w:rsidTr="000D3A26">
        <w:trPr>
          <w:tblHeader w:val="0"/>
        </w:trPr>
        <w:tc>
          <w:tcPr>
            <w:tcW w:w="3123" w:type="pct"/>
          </w:tcPr>
          <w:p w14:paraId="573E1FF5" w14:textId="2AE8C93A" w:rsidR="00FE5D4A" w:rsidRDefault="00FE5D4A" w:rsidP="00C053CE">
            <w:pPr>
              <w:rPr>
                <w:lang w:eastAsia="en-AU"/>
              </w:rPr>
            </w:pPr>
          </w:p>
        </w:tc>
        <w:tc>
          <w:tcPr>
            <w:tcW w:w="1877" w:type="pct"/>
          </w:tcPr>
          <w:p w14:paraId="055CE8D4" w14:textId="4A2DBB3B" w:rsidR="00FE5D4A" w:rsidRDefault="00FE5D4A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</w:tbl>
    <w:p w14:paraId="0FD46504" w14:textId="67B7035E" w:rsidR="00731616" w:rsidRDefault="00731616"/>
    <w:p w14:paraId="73091093" w14:textId="4E260750" w:rsidR="008E6C3E" w:rsidRPr="00AF3E70" w:rsidRDefault="00CF762A">
      <w:pPr>
        <w:rPr>
          <w:b/>
          <w:bCs/>
          <w:color w:val="006600"/>
          <w:sz w:val="24"/>
        </w:rPr>
      </w:pPr>
      <w:r w:rsidRPr="00AF3E70">
        <w:rPr>
          <w:b/>
          <w:bCs/>
          <w:color w:val="006600"/>
          <w:sz w:val="24"/>
        </w:rPr>
        <w:t>Reconciling Payroll Accounts</w:t>
      </w:r>
    </w:p>
    <w:p w14:paraId="23F36ECB" w14:textId="442569F2" w:rsidR="00CF762A" w:rsidRDefault="00CF762A" w:rsidP="00CF762A">
      <w:pPr>
        <w:pStyle w:val="ListParagraph"/>
        <w:numPr>
          <w:ilvl w:val="0"/>
          <w:numId w:val="2"/>
        </w:numPr>
      </w:pPr>
      <w:r>
        <w:t>Run payroll summary report</w:t>
      </w:r>
      <w:r w:rsidR="00387018">
        <w:t xml:space="preserve"> for the month or quarter</w:t>
      </w:r>
      <w:r>
        <w:t>.</w:t>
      </w:r>
    </w:p>
    <w:p w14:paraId="6A5E546F" w14:textId="59295D1A" w:rsidR="00387018" w:rsidRDefault="00387018" w:rsidP="00CF762A">
      <w:pPr>
        <w:pStyle w:val="ListParagraph"/>
        <w:numPr>
          <w:ilvl w:val="0"/>
          <w:numId w:val="2"/>
        </w:numPr>
      </w:pPr>
      <w:r>
        <w:t>Run the profit and loss report for the same period.</w:t>
      </w:r>
    </w:p>
    <w:p w14:paraId="657113A9" w14:textId="5529EAE6" w:rsidR="00CF762A" w:rsidRDefault="00387018" w:rsidP="00CF762A">
      <w:pPr>
        <w:pStyle w:val="ListParagraph"/>
        <w:numPr>
          <w:ilvl w:val="0"/>
          <w:numId w:val="2"/>
        </w:numPr>
      </w:pPr>
      <w:r>
        <w:t>Run balance sheet at the end of the same period.</w:t>
      </w:r>
    </w:p>
    <w:p w14:paraId="1E79C1AB" w14:textId="77777777" w:rsidR="009E79B0" w:rsidRDefault="009E79B0" w:rsidP="001D01C1">
      <w:pPr>
        <w:pStyle w:val="ListParagraph"/>
        <w:numPr>
          <w:ilvl w:val="1"/>
          <w:numId w:val="2"/>
        </w:numPr>
      </w:pPr>
      <w:r>
        <w:t>Does the payroll report wage category total equal the wages expense on the profit and loss?</w:t>
      </w:r>
    </w:p>
    <w:p w14:paraId="7C2E4E1F" w14:textId="77777777" w:rsidR="009E79B0" w:rsidRDefault="009E79B0" w:rsidP="001D01C1">
      <w:pPr>
        <w:pStyle w:val="ListParagraph"/>
        <w:numPr>
          <w:ilvl w:val="1"/>
          <w:numId w:val="2"/>
        </w:numPr>
      </w:pPr>
      <w:r>
        <w:t>Does the payroll report PAYGW total equal the amount payable on the balance sheet?</w:t>
      </w:r>
    </w:p>
    <w:p w14:paraId="61E62518" w14:textId="41460C9F" w:rsidR="00387018" w:rsidRDefault="00E9208A" w:rsidP="001D01C1">
      <w:pPr>
        <w:pStyle w:val="ListParagraph"/>
        <w:numPr>
          <w:ilvl w:val="1"/>
          <w:numId w:val="2"/>
        </w:numPr>
      </w:pPr>
      <w:r>
        <w:t xml:space="preserve">Does the payroll report superannuation </w:t>
      </w:r>
      <w:r w:rsidR="008029A6">
        <w:t>contribution guarantee equal the super expense on the profit and loss?</w:t>
      </w:r>
    </w:p>
    <w:p w14:paraId="375F17D7" w14:textId="68C4C7FE" w:rsidR="008029A6" w:rsidRDefault="008029A6" w:rsidP="001D01C1">
      <w:pPr>
        <w:pStyle w:val="ListParagraph"/>
        <w:numPr>
          <w:ilvl w:val="1"/>
          <w:numId w:val="2"/>
        </w:numPr>
      </w:pPr>
      <w:r>
        <w:t xml:space="preserve">Does the payroll report superannuation total including salary sacrifice </w:t>
      </w:r>
      <w:r w:rsidR="009A3199">
        <w:t>equal the amount payable on the balance sheet?</w:t>
      </w:r>
    </w:p>
    <w:p w14:paraId="603956FA" w14:textId="1D5A890F" w:rsidR="009A3199" w:rsidRDefault="009A3199" w:rsidP="00952142">
      <w:pPr>
        <w:pStyle w:val="ListParagraph"/>
      </w:pPr>
    </w:p>
    <w:p w14:paraId="3548B90D" w14:textId="4FBD4D39" w:rsidR="00952142" w:rsidRPr="00F35D65" w:rsidRDefault="00952142" w:rsidP="00952142">
      <w:pPr>
        <w:pStyle w:val="ListParagraph"/>
        <w:ind w:left="0"/>
        <w:rPr>
          <w:b/>
          <w:bCs/>
        </w:rPr>
      </w:pPr>
      <w:r w:rsidRPr="00F35D65">
        <w:rPr>
          <w:b/>
          <w:bCs/>
        </w:rPr>
        <w:t>Trouble Shooting</w:t>
      </w:r>
    </w:p>
    <w:p w14:paraId="2C4853E2" w14:textId="5B294CBD" w:rsidR="00952142" w:rsidRDefault="00952142" w:rsidP="00952142">
      <w:pPr>
        <w:pStyle w:val="ListParagraph"/>
        <w:numPr>
          <w:ilvl w:val="0"/>
          <w:numId w:val="3"/>
        </w:numPr>
      </w:pPr>
      <w:r>
        <w:t xml:space="preserve">Drill into account transaction listing to inspect details of all transactions allocated to the account. Are there incorrect </w:t>
      </w:r>
      <w:r w:rsidR="00457AD0">
        <w:t>allocations or payments sitting in this account?</w:t>
      </w:r>
    </w:p>
    <w:p w14:paraId="5A71CAE5" w14:textId="3BC19AFB" w:rsidR="00457AD0" w:rsidRDefault="00457AD0" w:rsidP="00952142">
      <w:pPr>
        <w:pStyle w:val="ListParagraph"/>
        <w:numPr>
          <w:ilvl w:val="0"/>
          <w:numId w:val="3"/>
        </w:numPr>
      </w:pPr>
      <w:r>
        <w:t xml:space="preserve">Check payments made for PAYGW in the BAS online services </w:t>
      </w:r>
      <w:r w:rsidR="00390052">
        <w:t xml:space="preserve">Integrated Client Account. Do the payments from the bank match the amounts received in the ICA? </w:t>
      </w:r>
    </w:p>
    <w:p w14:paraId="0D6375EA" w14:textId="59A9591E" w:rsidR="00F35D65" w:rsidRDefault="00F35D65" w:rsidP="00952142">
      <w:pPr>
        <w:pStyle w:val="ListParagraph"/>
        <w:numPr>
          <w:ilvl w:val="0"/>
          <w:numId w:val="3"/>
        </w:numPr>
      </w:pPr>
      <w:r>
        <w:t>Check payments made for superannuation</w:t>
      </w:r>
      <w:r w:rsidR="001B3BA0">
        <w:t xml:space="preserve">. Have </w:t>
      </w:r>
      <w:r w:rsidR="004B19F7">
        <w:t xml:space="preserve">salary sacrifice amounts been included? </w:t>
      </w:r>
      <w:r w:rsidR="00CE6406">
        <w:t xml:space="preserve">Have amounts been paid </w:t>
      </w:r>
      <w:r w:rsidR="00AF3E70">
        <w:t xml:space="preserve">late, </w:t>
      </w:r>
      <w:proofErr w:type="gramStart"/>
      <w:r w:rsidR="00AF3E70">
        <w:t>underpaid</w:t>
      </w:r>
      <w:proofErr w:type="gramEnd"/>
      <w:r w:rsidR="00AF3E70">
        <w:t xml:space="preserve"> or overpaid?</w:t>
      </w:r>
    </w:p>
    <w:p w14:paraId="1094D2AA" w14:textId="47D98BE2" w:rsidR="00390052" w:rsidRDefault="004B19F7" w:rsidP="004B19F7">
      <w:pPr>
        <w:pStyle w:val="ListParagraph"/>
        <w:numPr>
          <w:ilvl w:val="0"/>
          <w:numId w:val="3"/>
        </w:numPr>
      </w:pPr>
      <w:r>
        <w:t xml:space="preserve">Check general journal entries. Have </w:t>
      </w:r>
      <w:r w:rsidR="00F5423A">
        <w:t xml:space="preserve">end of year </w:t>
      </w:r>
      <w:r>
        <w:t xml:space="preserve">entries been made to control accounts or </w:t>
      </w:r>
      <w:r w:rsidR="00F5423A">
        <w:t xml:space="preserve">any wage-related accounts? You may need to check with the tax agents if they have adjusted balances for payroll accounts before you </w:t>
      </w:r>
      <w:r w:rsidR="00CE6406">
        <w:t>do anything to correct it.</w:t>
      </w:r>
    </w:p>
    <w:sectPr w:rsidR="00390052" w:rsidSect="000D3A2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98A0" w14:textId="77777777" w:rsidR="00F15250" w:rsidRDefault="00F15250" w:rsidP="00CD244B">
      <w:pPr>
        <w:spacing w:after="0" w:line="240" w:lineRule="auto"/>
      </w:pPr>
      <w:r>
        <w:separator/>
      </w:r>
    </w:p>
  </w:endnote>
  <w:endnote w:type="continuationSeparator" w:id="0">
    <w:p w14:paraId="776D8EDB" w14:textId="77777777" w:rsidR="00F15250" w:rsidRDefault="00F15250" w:rsidP="00CD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66DE" w14:textId="77777777" w:rsidR="00F15250" w:rsidRDefault="00F15250" w:rsidP="00CD244B">
      <w:pPr>
        <w:spacing w:after="0" w:line="240" w:lineRule="auto"/>
      </w:pPr>
      <w:r>
        <w:separator/>
      </w:r>
    </w:p>
  </w:footnote>
  <w:footnote w:type="continuationSeparator" w:id="0">
    <w:p w14:paraId="35A0E21E" w14:textId="77777777" w:rsidR="00F15250" w:rsidRDefault="00F15250" w:rsidP="00CD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5F54" w14:textId="658CA713" w:rsidR="00CD244B" w:rsidRDefault="00CD244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A11D1D" wp14:editId="77DA131D">
          <wp:simplePos x="0" y="0"/>
          <wp:positionH relativeFrom="column">
            <wp:posOffset>-470535</wp:posOffset>
          </wp:positionH>
          <wp:positionV relativeFrom="paragraph">
            <wp:posOffset>-12700</wp:posOffset>
          </wp:positionV>
          <wp:extent cx="6599555" cy="1298575"/>
          <wp:effectExtent l="0" t="0" r="4445" b="0"/>
          <wp:wrapTight wrapText="bothSides">
            <wp:wrapPolygon edited="0">
              <wp:start x="0" y="0"/>
              <wp:lineTo x="0" y="21336"/>
              <wp:lineTo x="21573" y="21336"/>
              <wp:lineTo x="21573" y="0"/>
              <wp:lineTo x="0" y="0"/>
            </wp:wrapPolygon>
          </wp:wrapTight>
          <wp:docPr id="1" name="Picture 1" descr="Graphical user interface,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955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0DB83" w14:textId="77777777" w:rsidR="00CD244B" w:rsidRDefault="00CD2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30FF8"/>
    <w:multiLevelType w:val="hybridMultilevel"/>
    <w:tmpl w:val="AB4C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97ED6"/>
    <w:multiLevelType w:val="hybridMultilevel"/>
    <w:tmpl w:val="4016D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9111A"/>
    <w:multiLevelType w:val="hybridMultilevel"/>
    <w:tmpl w:val="6ED69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812321">
    <w:abstractNumId w:val="1"/>
  </w:num>
  <w:num w:numId="2" w16cid:durableId="1796485851">
    <w:abstractNumId w:val="2"/>
  </w:num>
  <w:num w:numId="3" w16cid:durableId="64909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16"/>
    <w:rsid w:val="0002068E"/>
    <w:rsid w:val="00041104"/>
    <w:rsid w:val="000738B9"/>
    <w:rsid w:val="000A4EC2"/>
    <w:rsid w:val="000B2352"/>
    <w:rsid w:val="000D3A26"/>
    <w:rsid w:val="000F3D66"/>
    <w:rsid w:val="00100DB3"/>
    <w:rsid w:val="00116173"/>
    <w:rsid w:val="00117776"/>
    <w:rsid w:val="00164FB3"/>
    <w:rsid w:val="001B3BA0"/>
    <w:rsid w:val="001C22EF"/>
    <w:rsid w:val="001C3AAC"/>
    <w:rsid w:val="001D01C1"/>
    <w:rsid w:val="001D18B1"/>
    <w:rsid w:val="001D4BD4"/>
    <w:rsid w:val="001F750A"/>
    <w:rsid w:val="002545B6"/>
    <w:rsid w:val="002575F9"/>
    <w:rsid w:val="00283A30"/>
    <w:rsid w:val="00285DC9"/>
    <w:rsid w:val="00294B81"/>
    <w:rsid w:val="002E7B69"/>
    <w:rsid w:val="00307791"/>
    <w:rsid w:val="00342B43"/>
    <w:rsid w:val="00356FF0"/>
    <w:rsid w:val="00370433"/>
    <w:rsid w:val="003823F5"/>
    <w:rsid w:val="00387018"/>
    <w:rsid w:val="00390052"/>
    <w:rsid w:val="0039473B"/>
    <w:rsid w:val="003C6707"/>
    <w:rsid w:val="003F4570"/>
    <w:rsid w:val="0040364B"/>
    <w:rsid w:val="004070D2"/>
    <w:rsid w:val="00423F2B"/>
    <w:rsid w:val="00426FC8"/>
    <w:rsid w:val="00457AD0"/>
    <w:rsid w:val="004B19F7"/>
    <w:rsid w:val="004C6A53"/>
    <w:rsid w:val="004E791C"/>
    <w:rsid w:val="004F0C43"/>
    <w:rsid w:val="004F4C45"/>
    <w:rsid w:val="00501C1C"/>
    <w:rsid w:val="00502CEA"/>
    <w:rsid w:val="00523543"/>
    <w:rsid w:val="00544AE1"/>
    <w:rsid w:val="006112E4"/>
    <w:rsid w:val="006218A2"/>
    <w:rsid w:val="0062327C"/>
    <w:rsid w:val="00626332"/>
    <w:rsid w:val="00651A3B"/>
    <w:rsid w:val="006770D9"/>
    <w:rsid w:val="006A1A55"/>
    <w:rsid w:val="006B5EFB"/>
    <w:rsid w:val="006E4B73"/>
    <w:rsid w:val="00731616"/>
    <w:rsid w:val="0075249C"/>
    <w:rsid w:val="00766BF3"/>
    <w:rsid w:val="007905AC"/>
    <w:rsid w:val="00792B4E"/>
    <w:rsid w:val="007D2E19"/>
    <w:rsid w:val="008029A6"/>
    <w:rsid w:val="0086041A"/>
    <w:rsid w:val="0087596B"/>
    <w:rsid w:val="0089290B"/>
    <w:rsid w:val="008C0C2E"/>
    <w:rsid w:val="008E6C3E"/>
    <w:rsid w:val="00903499"/>
    <w:rsid w:val="00945851"/>
    <w:rsid w:val="00952142"/>
    <w:rsid w:val="00967932"/>
    <w:rsid w:val="009A3199"/>
    <w:rsid w:val="009B266C"/>
    <w:rsid w:val="009C559F"/>
    <w:rsid w:val="009E79B0"/>
    <w:rsid w:val="00A072B0"/>
    <w:rsid w:val="00A553D4"/>
    <w:rsid w:val="00A9337A"/>
    <w:rsid w:val="00AD0369"/>
    <w:rsid w:val="00AE283D"/>
    <w:rsid w:val="00AF3E70"/>
    <w:rsid w:val="00B2550B"/>
    <w:rsid w:val="00B52B5A"/>
    <w:rsid w:val="00B77C4F"/>
    <w:rsid w:val="00B82476"/>
    <w:rsid w:val="00BA0E21"/>
    <w:rsid w:val="00BD7AD1"/>
    <w:rsid w:val="00C02A8C"/>
    <w:rsid w:val="00C10B03"/>
    <w:rsid w:val="00C11D9A"/>
    <w:rsid w:val="00C36C9A"/>
    <w:rsid w:val="00C56AC0"/>
    <w:rsid w:val="00C77BDC"/>
    <w:rsid w:val="00C91679"/>
    <w:rsid w:val="00CA2C37"/>
    <w:rsid w:val="00CB5BD7"/>
    <w:rsid w:val="00CD244B"/>
    <w:rsid w:val="00CE6406"/>
    <w:rsid w:val="00CF762A"/>
    <w:rsid w:val="00D05A3D"/>
    <w:rsid w:val="00D05AF7"/>
    <w:rsid w:val="00D10C1B"/>
    <w:rsid w:val="00D11502"/>
    <w:rsid w:val="00D15D82"/>
    <w:rsid w:val="00D240B0"/>
    <w:rsid w:val="00D34DF8"/>
    <w:rsid w:val="00D47D20"/>
    <w:rsid w:val="00D93DA8"/>
    <w:rsid w:val="00DA2AD7"/>
    <w:rsid w:val="00DA4502"/>
    <w:rsid w:val="00DB37ED"/>
    <w:rsid w:val="00DE1380"/>
    <w:rsid w:val="00E12207"/>
    <w:rsid w:val="00E3217F"/>
    <w:rsid w:val="00E4084B"/>
    <w:rsid w:val="00E62EA6"/>
    <w:rsid w:val="00E9208A"/>
    <w:rsid w:val="00E9291B"/>
    <w:rsid w:val="00EC5A6B"/>
    <w:rsid w:val="00ED21BD"/>
    <w:rsid w:val="00EE1ABF"/>
    <w:rsid w:val="00EE7B6D"/>
    <w:rsid w:val="00F0214F"/>
    <w:rsid w:val="00F06118"/>
    <w:rsid w:val="00F15250"/>
    <w:rsid w:val="00F35D65"/>
    <w:rsid w:val="00F53BFF"/>
    <w:rsid w:val="00F5423A"/>
    <w:rsid w:val="00F73FAE"/>
    <w:rsid w:val="00F77574"/>
    <w:rsid w:val="00F92E2E"/>
    <w:rsid w:val="00FA0DF6"/>
    <w:rsid w:val="00FB09EB"/>
    <w:rsid w:val="00FB57FC"/>
    <w:rsid w:val="00FE5D4A"/>
    <w:rsid w:val="00FE5F2C"/>
    <w:rsid w:val="00FE6D34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E6A4D"/>
  <w15:chartTrackingRefBased/>
  <w15:docId w15:val="{4DC0688C-1DBA-4048-8980-C9173FF5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616"/>
    <w:pPr>
      <w:spacing w:after="160" w:line="259" w:lineRule="auto"/>
    </w:pPr>
    <w:rPr>
      <w:rFonts w:ascii="Arial" w:eastAsia="Times New Roman" w:hAnsi="Arial" w:cs="Times New Roman"/>
      <w:color w:val="262626" w:themeColor="text1" w:themeTint="D9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731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616"/>
    <w:pPr>
      <w:spacing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616"/>
    <w:rPr>
      <w:color w:val="262626" w:themeColor="text1" w:themeTint="D9"/>
      <w:sz w:val="20"/>
      <w:szCs w:val="20"/>
      <w:lang w:eastAsia="en-GB"/>
    </w:rPr>
  </w:style>
  <w:style w:type="table" w:customStyle="1" w:styleId="SoftPub">
    <w:name w:val="SoftPub"/>
    <w:basedOn w:val="TableNormal"/>
    <w:uiPriority w:val="99"/>
    <w:rsid w:val="00731616"/>
    <w:rPr>
      <w:rFonts w:ascii="Arial" w:hAnsi="Arial"/>
      <w:sz w:val="22"/>
      <w:szCs w:val="22"/>
      <w:lang w:val="en-NZ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  <w:tblHeader/>
    </w:trPr>
  </w:style>
  <w:style w:type="paragraph" w:styleId="Header">
    <w:name w:val="header"/>
    <w:basedOn w:val="Normal"/>
    <w:link w:val="HeaderChar"/>
    <w:uiPriority w:val="99"/>
    <w:unhideWhenUsed/>
    <w:rsid w:val="00CD2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44B"/>
    <w:rPr>
      <w:rFonts w:ascii="Arial" w:eastAsia="Times New Roman" w:hAnsi="Arial" w:cs="Times New Roman"/>
      <w:color w:val="262626" w:themeColor="text1" w:themeTint="D9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2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44B"/>
    <w:rPr>
      <w:rFonts w:ascii="Arial" w:eastAsia="Times New Roman" w:hAnsi="Arial" w:cs="Times New Roman"/>
      <w:color w:val="262626" w:themeColor="text1" w:themeTint="D9"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DA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F0D34D402BD4BBB63F09A3C570345" ma:contentTypeVersion="12" ma:contentTypeDescription="Create a new document." ma:contentTypeScope="" ma:versionID="acd2e8874743844c8f782bb742f6bf1d">
  <xsd:schema xmlns:xsd="http://www.w3.org/2001/XMLSchema" xmlns:xs="http://www.w3.org/2001/XMLSchema" xmlns:p="http://schemas.microsoft.com/office/2006/metadata/properties" xmlns:ns2="793f0634-c579-4d4c-82e4-4eaf255175d7" xmlns:ns3="541cc66e-111c-4114-b939-b8cea1961697" targetNamespace="http://schemas.microsoft.com/office/2006/metadata/properties" ma:root="true" ma:fieldsID="44ce92b88af1b8a8564ea54b72678449" ns2:_="" ns3:_="">
    <xsd:import namespace="793f0634-c579-4d4c-82e4-4eaf255175d7"/>
    <xsd:import namespace="541cc66e-111c-4114-b939-b8cea1961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0634-c579-4d4c-82e4-4eaf25517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cc66e-111c-4114-b939-b8cea1961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6C88A-BE52-4267-B204-DE02C66C82C7}"/>
</file>

<file path=customXml/itemProps2.xml><?xml version="1.0" encoding="utf-8"?>
<ds:datastoreItem xmlns:ds="http://schemas.openxmlformats.org/officeDocument/2006/customXml" ds:itemID="{D622F40C-27ED-4154-8008-7632CE73ED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Voight</dc:creator>
  <cp:keywords/>
  <dc:description/>
  <cp:lastModifiedBy>Jo Voight</cp:lastModifiedBy>
  <cp:revision>81</cp:revision>
  <dcterms:created xsi:type="dcterms:W3CDTF">2022-09-26T00:03:00Z</dcterms:created>
  <dcterms:modified xsi:type="dcterms:W3CDTF">2022-09-26T04:44:00Z</dcterms:modified>
</cp:coreProperties>
</file>