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2531" w14:textId="31DC7D50" w:rsidR="00814EB2" w:rsidRDefault="00814EB2" w:rsidP="005676B1"/>
    <w:p w14:paraId="5A3C4CB3" w14:textId="77777777" w:rsidR="00445ECC" w:rsidRPr="00445ECC" w:rsidRDefault="00445ECC" w:rsidP="00445ECC">
      <w:pPr>
        <w:rPr>
          <w:rFonts w:ascii="Arial" w:hAnsi="Arial" w:cs="Arial"/>
          <w:b/>
          <w:color w:val="192A67"/>
          <w:sz w:val="24"/>
          <w:szCs w:val="24"/>
        </w:rPr>
      </w:pPr>
      <w:r w:rsidRPr="00445ECC">
        <w:rPr>
          <w:rFonts w:ascii="Arial" w:hAnsi="Arial" w:cs="Arial"/>
          <w:b/>
          <w:color w:val="192A67"/>
          <w:sz w:val="24"/>
          <w:szCs w:val="24"/>
        </w:rPr>
        <w:t>TPB Advice on the Use and Disclosure of a Client’s TFN in Emails</w:t>
      </w:r>
    </w:p>
    <w:p w14:paraId="715ED29B" w14:textId="77777777" w:rsidR="00445ECC" w:rsidRPr="00445ECC" w:rsidRDefault="00445ECC" w:rsidP="00445ECC">
      <w:pPr>
        <w:rPr>
          <w:rFonts w:ascii="Arial" w:hAnsi="Arial" w:cs="Arial"/>
          <w:color w:val="192A67"/>
          <w:sz w:val="20"/>
          <w:szCs w:val="20"/>
        </w:rPr>
      </w:pPr>
      <w:r w:rsidRPr="00445ECC">
        <w:rPr>
          <w:rFonts w:ascii="Arial" w:hAnsi="Arial" w:cs="Arial"/>
          <w:color w:val="192A67"/>
          <w:sz w:val="20"/>
          <w:szCs w:val="20"/>
        </w:rPr>
        <w:t>The Tax Practitioners Board has issued practice note</w:t>
      </w:r>
      <w:r>
        <w:rPr>
          <w:rFonts w:cs="Tahoma"/>
          <w:color w:val="3B3838" w:themeColor="background2" w:themeShade="40"/>
        </w:rPr>
        <w:t xml:space="preserve"> </w:t>
      </w:r>
      <w:hyperlink r:id="rId9" w:history="1">
        <w:r w:rsidRPr="003040DE">
          <w:rPr>
            <w:rStyle w:val="Hyperlink"/>
            <w:rFonts w:cs="Tahoma"/>
            <w:color w:val="006600"/>
          </w:rPr>
          <w:t>TPB(PN) 4/2021</w:t>
        </w:r>
      </w:hyperlink>
      <w:r>
        <w:rPr>
          <w:rFonts w:cs="Tahoma"/>
          <w:color w:val="3B3838" w:themeColor="background2" w:themeShade="40"/>
        </w:rPr>
        <w:t xml:space="preserve"> </w:t>
      </w:r>
      <w:r w:rsidRPr="00445ECC">
        <w:rPr>
          <w:rFonts w:ascii="Arial" w:hAnsi="Arial" w:cs="Arial"/>
          <w:color w:val="192A67"/>
          <w:sz w:val="20"/>
          <w:szCs w:val="20"/>
        </w:rPr>
        <w:t>on the use of tax file number information in email communications to provide practical guidance about safely using TFN information in emails.</w:t>
      </w:r>
    </w:p>
    <w:p w14:paraId="088AFC8D" w14:textId="77777777" w:rsidR="00445ECC" w:rsidRDefault="00445ECC" w:rsidP="00445ECC">
      <w:pPr>
        <w:rPr>
          <w:rFonts w:cs="Tahoma"/>
          <w:color w:val="3B3838" w:themeColor="background2" w:themeShade="40"/>
        </w:rPr>
      </w:pPr>
      <w:r w:rsidRPr="00445ECC">
        <w:rPr>
          <w:rFonts w:ascii="Arial" w:hAnsi="Arial" w:cs="Arial"/>
          <w:color w:val="192A67"/>
          <w:sz w:val="20"/>
          <w:szCs w:val="20"/>
        </w:rPr>
        <w:t>Tax practitioners must always maintain the confidentiality of clients' information under the Code of Professional Conduct</w:t>
      </w:r>
      <w:r>
        <w:rPr>
          <w:rFonts w:cs="Tahoma"/>
          <w:color w:val="3B3838" w:themeColor="background2" w:themeShade="40"/>
        </w:rPr>
        <w:t>.</w:t>
      </w:r>
    </w:p>
    <w:p w14:paraId="4FDC32CC" w14:textId="77777777" w:rsidR="00445ECC" w:rsidRPr="00445ECC" w:rsidRDefault="00445ECC" w:rsidP="00445ECC">
      <w:pPr>
        <w:rPr>
          <w:rFonts w:ascii="Arial" w:hAnsi="Arial" w:cs="Arial"/>
          <w:color w:val="192A67"/>
          <w:sz w:val="20"/>
          <w:szCs w:val="20"/>
        </w:rPr>
      </w:pPr>
      <w:r w:rsidRPr="00445ECC">
        <w:rPr>
          <w:rFonts w:ascii="Arial" w:hAnsi="Arial" w:cs="Arial"/>
          <w:color w:val="192A67"/>
          <w:sz w:val="20"/>
          <w:szCs w:val="20"/>
        </w:rPr>
        <w:t xml:space="preserve">Australian privacy law requires that TFN information only be used or disclosed for a purpose authorised by taxation, personal </w:t>
      </w:r>
      <w:proofErr w:type="gramStart"/>
      <w:r w:rsidRPr="00445ECC">
        <w:rPr>
          <w:rFonts w:ascii="Arial" w:hAnsi="Arial" w:cs="Arial"/>
          <w:color w:val="192A67"/>
          <w:sz w:val="20"/>
          <w:szCs w:val="20"/>
        </w:rPr>
        <w:t>assistance</w:t>
      </w:r>
      <w:proofErr w:type="gramEnd"/>
      <w:r w:rsidRPr="00445ECC">
        <w:rPr>
          <w:rFonts w:ascii="Arial" w:hAnsi="Arial" w:cs="Arial"/>
          <w:color w:val="192A67"/>
          <w:sz w:val="20"/>
          <w:szCs w:val="20"/>
        </w:rPr>
        <w:t xml:space="preserve"> or superannuation law and to give an individual any TFN information that the TFN recipient holds about that individual.</w:t>
      </w:r>
    </w:p>
    <w:p w14:paraId="7CE8D0FE" w14:textId="77777777" w:rsidR="00445ECC" w:rsidRPr="00445ECC" w:rsidRDefault="00445ECC" w:rsidP="00445ECC">
      <w:pPr>
        <w:rPr>
          <w:rFonts w:ascii="Arial" w:hAnsi="Arial" w:cs="Arial"/>
          <w:color w:val="192A67"/>
          <w:sz w:val="20"/>
          <w:szCs w:val="20"/>
        </w:rPr>
      </w:pPr>
      <w:r w:rsidRPr="00445ECC">
        <w:rPr>
          <w:rFonts w:ascii="Arial" w:hAnsi="Arial" w:cs="Arial"/>
          <w:color w:val="192A67"/>
          <w:sz w:val="20"/>
          <w:szCs w:val="20"/>
        </w:rPr>
        <w:t xml:space="preserve">BAS agent recipients of TFN information must take reasonable steps: </w:t>
      </w:r>
    </w:p>
    <w:p w14:paraId="33537212" w14:textId="77777777" w:rsidR="00445ECC" w:rsidRPr="00445ECC" w:rsidRDefault="00445ECC" w:rsidP="00445ECC">
      <w:pPr>
        <w:pStyle w:val="ListParagraph"/>
        <w:numPr>
          <w:ilvl w:val="0"/>
          <w:numId w:val="4"/>
        </w:numPr>
        <w:rPr>
          <w:rFonts w:ascii="Arial" w:eastAsiaTheme="minorHAnsi" w:hAnsi="Arial" w:cs="Arial"/>
          <w:color w:val="192A67"/>
          <w:sz w:val="20"/>
          <w:szCs w:val="20"/>
          <w:lang w:eastAsia="en-US"/>
        </w:rPr>
      </w:pPr>
      <w:r w:rsidRPr="00445ECC">
        <w:rPr>
          <w:rFonts w:ascii="Arial" w:eastAsiaTheme="minorHAnsi" w:hAnsi="Arial" w:cs="Arial"/>
          <w:color w:val="192A67"/>
          <w:sz w:val="20"/>
          <w:szCs w:val="20"/>
          <w:lang w:eastAsia="en-US"/>
        </w:rPr>
        <w:t xml:space="preserve">To protect TFN information from unauthorised access or disclosure of that </w:t>
      </w:r>
      <w:proofErr w:type="gramStart"/>
      <w:r w:rsidRPr="00445ECC">
        <w:rPr>
          <w:rFonts w:ascii="Arial" w:eastAsiaTheme="minorHAnsi" w:hAnsi="Arial" w:cs="Arial"/>
          <w:color w:val="192A67"/>
          <w:sz w:val="20"/>
          <w:szCs w:val="20"/>
          <w:lang w:eastAsia="en-US"/>
        </w:rPr>
        <w:t>information;</w:t>
      </w:r>
      <w:proofErr w:type="gramEnd"/>
    </w:p>
    <w:p w14:paraId="234BD8A2" w14:textId="77777777" w:rsidR="00445ECC" w:rsidRPr="00445ECC" w:rsidRDefault="00445ECC" w:rsidP="00445ECC">
      <w:pPr>
        <w:pStyle w:val="ListParagraph"/>
        <w:numPr>
          <w:ilvl w:val="0"/>
          <w:numId w:val="4"/>
        </w:numPr>
        <w:rPr>
          <w:rFonts w:ascii="Arial" w:eastAsiaTheme="minorHAnsi" w:hAnsi="Arial" w:cs="Arial"/>
          <w:color w:val="192A67"/>
          <w:sz w:val="20"/>
          <w:szCs w:val="20"/>
          <w:lang w:eastAsia="en-US"/>
        </w:rPr>
      </w:pPr>
      <w:r w:rsidRPr="00445ECC">
        <w:rPr>
          <w:rFonts w:ascii="Arial" w:eastAsiaTheme="minorHAnsi" w:hAnsi="Arial" w:cs="Arial"/>
          <w:color w:val="192A67"/>
          <w:sz w:val="20"/>
          <w:szCs w:val="20"/>
          <w:lang w:eastAsia="en-US"/>
        </w:rPr>
        <w:t xml:space="preserve">to ensure that access to TFN information is restricted to individuals who need the information for taxation, personal assistance or superannuation law </w:t>
      </w:r>
      <w:proofErr w:type="gramStart"/>
      <w:r w:rsidRPr="00445ECC">
        <w:rPr>
          <w:rFonts w:ascii="Arial" w:eastAsiaTheme="minorHAnsi" w:hAnsi="Arial" w:cs="Arial"/>
          <w:color w:val="192A67"/>
          <w:sz w:val="20"/>
          <w:szCs w:val="20"/>
          <w:lang w:eastAsia="en-US"/>
        </w:rPr>
        <w:t>purposes;</w:t>
      </w:r>
      <w:proofErr w:type="gramEnd"/>
    </w:p>
    <w:p w14:paraId="2FC28C41" w14:textId="77777777" w:rsidR="00445ECC" w:rsidRPr="00445ECC" w:rsidRDefault="00445ECC" w:rsidP="00445ECC">
      <w:pPr>
        <w:pStyle w:val="ListParagraph"/>
        <w:numPr>
          <w:ilvl w:val="0"/>
          <w:numId w:val="4"/>
        </w:numPr>
        <w:rPr>
          <w:rFonts w:ascii="Arial" w:eastAsiaTheme="minorHAnsi" w:hAnsi="Arial" w:cs="Arial"/>
          <w:color w:val="192A67"/>
          <w:sz w:val="20"/>
          <w:szCs w:val="20"/>
          <w:lang w:eastAsia="en-US"/>
        </w:rPr>
      </w:pPr>
      <w:r w:rsidRPr="00445ECC">
        <w:rPr>
          <w:rFonts w:ascii="Arial" w:eastAsiaTheme="minorHAnsi" w:hAnsi="Arial" w:cs="Arial"/>
          <w:color w:val="192A67"/>
          <w:sz w:val="20"/>
          <w:szCs w:val="20"/>
          <w:lang w:eastAsia="en-US"/>
        </w:rPr>
        <w:t xml:space="preserve">to securely destroy or permanently de-identify TFN information when it is no longer required by law to be retained for legal </w:t>
      </w:r>
      <w:proofErr w:type="gramStart"/>
      <w:r w:rsidRPr="00445ECC">
        <w:rPr>
          <w:rFonts w:ascii="Arial" w:eastAsiaTheme="minorHAnsi" w:hAnsi="Arial" w:cs="Arial"/>
          <w:color w:val="192A67"/>
          <w:sz w:val="20"/>
          <w:szCs w:val="20"/>
          <w:lang w:eastAsia="en-US"/>
        </w:rPr>
        <w:t>purposes;</w:t>
      </w:r>
      <w:proofErr w:type="gramEnd"/>
    </w:p>
    <w:p w14:paraId="558B6571" w14:textId="77777777" w:rsidR="00445ECC" w:rsidRPr="00445ECC" w:rsidRDefault="00445ECC" w:rsidP="00445ECC">
      <w:pPr>
        <w:pStyle w:val="ListParagraph"/>
        <w:numPr>
          <w:ilvl w:val="0"/>
          <w:numId w:val="4"/>
        </w:numPr>
        <w:rPr>
          <w:rFonts w:ascii="Arial" w:eastAsiaTheme="minorHAnsi" w:hAnsi="Arial" w:cs="Arial"/>
          <w:color w:val="192A67"/>
          <w:sz w:val="20"/>
          <w:szCs w:val="20"/>
          <w:lang w:eastAsia="en-US"/>
        </w:rPr>
      </w:pPr>
      <w:r w:rsidRPr="00445ECC">
        <w:rPr>
          <w:rFonts w:ascii="Arial" w:eastAsiaTheme="minorHAnsi" w:hAnsi="Arial" w:cs="Arial"/>
          <w:color w:val="192A67"/>
          <w:sz w:val="20"/>
          <w:szCs w:val="20"/>
          <w:lang w:eastAsia="en-US"/>
        </w:rPr>
        <w:t>and to ensure that all staff are aware of the privacy requirements when handling TFN information.</w:t>
      </w:r>
    </w:p>
    <w:p w14:paraId="5FBF72FF" w14:textId="77777777" w:rsidR="00445ECC" w:rsidRDefault="00445ECC" w:rsidP="00445ECC">
      <w:pPr>
        <w:rPr>
          <w:rFonts w:cs="Tahoma"/>
          <w:color w:val="3B3838" w:themeColor="background2" w:themeShade="40"/>
        </w:rPr>
      </w:pPr>
    </w:p>
    <w:p w14:paraId="23F686F3" w14:textId="77777777" w:rsidR="00445ECC" w:rsidRPr="003110FD" w:rsidRDefault="00445ECC" w:rsidP="00445ECC">
      <w:pPr>
        <w:rPr>
          <w:rFonts w:cs="Tahoma"/>
          <w:color w:val="006600"/>
        </w:rPr>
      </w:pPr>
      <w:r w:rsidRPr="00445ECC">
        <w:rPr>
          <w:rFonts w:ascii="Arial" w:hAnsi="Arial" w:cs="Arial"/>
          <w:color w:val="192A67"/>
          <w:sz w:val="20"/>
          <w:szCs w:val="20"/>
        </w:rPr>
        <w:t xml:space="preserve">The Notifiable Data Breaches Scheme requires that any organisation covered by the </w:t>
      </w:r>
      <w:r w:rsidRPr="00445ECC">
        <w:rPr>
          <w:rFonts w:ascii="Arial" w:hAnsi="Arial" w:cs="Arial"/>
          <w:i/>
          <w:iCs/>
          <w:color w:val="192A67"/>
          <w:sz w:val="20"/>
          <w:szCs w:val="20"/>
        </w:rPr>
        <w:t>Privacy Act 1988</w:t>
      </w:r>
      <w:r w:rsidRPr="00445ECC">
        <w:rPr>
          <w:rFonts w:ascii="Arial" w:hAnsi="Arial" w:cs="Arial"/>
          <w:color w:val="192A67"/>
          <w:sz w:val="20"/>
          <w:szCs w:val="20"/>
        </w:rPr>
        <w:t xml:space="preserve"> notifies the Office of the Australian Information Commissioner when a breach may affect an individual's privacy. Breaches of information that disclose TFN information are notifiable</w:t>
      </w:r>
      <w:r>
        <w:rPr>
          <w:rFonts w:cs="Tahoma"/>
          <w:color w:val="3B3838" w:themeColor="background2" w:themeShade="40"/>
        </w:rPr>
        <w:t>.</w:t>
      </w:r>
    </w:p>
    <w:p w14:paraId="76D9A319" w14:textId="77777777" w:rsidR="00445ECC" w:rsidRDefault="00445ECC" w:rsidP="00445ECC">
      <w:pPr>
        <w:rPr>
          <w:rFonts w:ascii="Arial" w:hAnsi="Arial" w:cs="Arial"/>
          <w:b/>
          <w:color w:val="192A67"/>
          <w:sz w:val="24"/>
          <w:szCs w:val="24"/>
        </w:rPr>
      </w:pPr>
    </w:p>
    <w:p w14:paraId="026427E5" w14:textId="099366C1" w:rsidR="00445ECC" w:rsidRPr="00445ECC" w:rsidRDefault="00445ECC" w:rsidP="00445ECC">
      <w:pPr>
        <w:rPr>
          <w:rFonts w:ascii="Arial" w:hAnsi="Arial" w:cs="Arial"/>
          <w:b/>
          <w:color w:val="192A67"/>
          <w:sz w:val="24"/>
          <w:szCs w:val="24"/>
        </w:rPr>
      </w:pPr>
      <w:r w:rsidRPr="00445ECC">
        <w:rPr>
          <w:rFonts w:ascii="Arial" w:hAnsi="Arial" w:cs="Arial"/>
          <w:b/>
          <w:color w:val="192A67"/>
          <w:sz w:val="24"/>
          <w:szCs w:val="24"/>
        </w:rPr>
        <w:t>Accounting Technician Steps to TFN Security</w:t>
      </w:r>
    </w:p>
    <w:p w14:paraId="575B31B0" w14:textId="77777777" w:rsidR="00445ECC" w:rsidRPr="00445ECC" w:rsidRDefault="00445ECC" w:rsidP="00445ECC">
      <w:pPr>
        <w:rPr>
          <w:rFonts w:ascii="Arial" w:hAnsi="Arial" w:cs="Arial"/>
          <w:color w:val="192A67"/>
          <w:sz w:val="20"/>
          <w:szCs w:val="20"/>
        </w:rPr>
      </w:pPr>
      <w:r w:rsidRPr="00445ECC">
        <w:rPr>
          <w:rFonts w:ascii="Arial" w:hAnsi="Arial" w:cs="Arial"/>
          <w:color w:val="192A67"/>
          <w:sz w:val="20"/>
          <w:szCs w:val="20"/>
        </w:rPr>
        <w:t>These guidelines apply to all personal information, including TFN, name, address, bank accounts, photos, or any other sensitive information that could identify an individual.</w:t>
      </w:r>
    </w:p>
    <w:p w14:paraId="47A07B30" w14:textId="77777777" w:rsidR="00445ECC" w:rsidRPr="00445ECC" w:rsidRDefault="00445ECC" w:rsidP="00445ECC">
      <w:pPr>
        <w:rPr>
          <w:rFonts w:ascii="Arial" w:hAnsi="Arial" w:cs="Arial"/>
          <w:color w:val="192A67"/>
          <w:sz w:val="20"/>
          <w:szCs w:val="20"/>
        </w:rPr>
      </w:pPr>
      <w:r w:rsidRPr="00445ECC">
        <w:rPr>
          <w:rFonts w:ascii="Arial" w:hAnsi="Arial" w:cs="Arial"/>
          <w:color w:val="192A67"/>
          <w:sz w:val="20"/>
          <w:szCs w:val="20"/>
        </w:rPr>
        <w:t>If you regularly email TFN and other sensitive information to clients, then you need to check and possibly update or change your systems to meet confidentiality and privacy requirements set out in the new guidelines by the TPB.</w:t>
      </w:r>
    </w:p>
    <w:p w14:paraId="663BB9B3" w14:textId="77777777" w:rsidR="00445ECC" w:rsidRPr="00445ECC" w:rsidRDefault="00445ECC" w:rsidP="00445ECC">
      <w:pPr>
        <w:pStyle w:val="ListParagraph"/>
        <w:numPr>
          <w:ilvl w:val="0"/>
          <w:numId w:val="3"/>
        </w:numPr>
        <w:rPr>
          <w:rFonts w:ascii="Arial" w:eastAsiaTheme="minorHAnsi" w:hAnsi="Arial" w:cs="Arial"/>
          <w:color w:val="192A67"/>
          <w:sz w:val="20"/>
          <w:szCs w:val="20"/>
          <w:lang w:eastAsia="en-US"/>
        </w:rPr>
      </w:pPr>
      <w:r w:rsidRPr="00445ECC">
        <w:rPr>
          <w:rFonts w:ascii="Arial" w:eastAsiaTheme="minorHAnsi" w:hAnsi="Arial" w:cs="Arial"/>
          <w:color w:val="192A67"/>
          <w:sz w:val="20"/>
          <w:szCs w:val="20"/>
          <w:lang w:eastAsia="en-US"/>
        </w:rPr>
        <w:t>Only collect information necessary to your engagement and the tasks required of you.</w:t>
      </w:r>
    </w:p>
    <w:p w14:paraId="1C4FE71D" w14:textId="77777777" w:rsidR="00445ECC" w:rsidRPr="00445ECC" w:rsidRDefault="00445ECC" w:rsidP="00445ECC">
      <w:pPr>
        <w:pStyle w:val="ListParagraph"/>
        <w:numPr>
          <w:ilvl w:val="0"/>
          <w:numId w:val="3"/>
        </w:numPr>
        <w:rPr>
          <w:rFonts w:ascii="Arial" w:eastAsiaTheme="minorHAnsi" w:hAnsi="Arial" w:cs="Arial"/>
          <w:color w:val="192A67"/>
          <w:sz w:val="20"/>
          <w:szCs w:val="20"/>
          <w:lang w:eastAsia="en-US"/>
        </w:rPr>
      </w:pPr>
      <w:r w:rsidRPr="00445ECC">
        <w:rPr>
          <w:rFonts w:ascii="Arial" w:eastAsiaTheme="minorHAnsi" w:hAnsi="Arial" w:cs="Arial"/>
          <w:color w:val="192A67"/>
          <w:sz w:val="20"/>
          <w:szCs w:val="20"/>
          <w:lang w:eastAsia="en-US"/>
        </w:rPr>
        <w:t>Assess the security of your file-sharing and email systems.</w:t>
      </w:r>
    </w:p>
    <w:p w14:paraId="40620A45" w14:textId="77777777" w:rsidR="00445ECC" w:rsidRPr="00445ECC" w:rsidRDefault="00445ECC" w:rsidP="00445ECC">
      <w:pPr>
        <w:pStyle w:val="ListParagraph"/>
        <w:numPr>
          <w:ilvl w:val="0"/>
          <w:numId w:val="3"/>
        </w:numPr>
        <w:rPr>
          <w:rFonts w:ascii="Arial" w:eastAsiaTheme="minorHAnsi" w:hAnsi="Arial" w:cs="Arial"/>
          <w:color w:val="192A67"/>
          <w:sz w:val="20"/>
          <w:szCs w:val="20"/>
          <w:lang w:eastAsia="en-US"/>
        </w:rPr>
      </w:pPr>
      <w:r w:rsidRPr="00445ECC">
        <w:rPr>
          <w:rFonts w:ascii="Arial" w:eastAsiaTheme="minorHAnsi" w:hAnsi="Arial" w:cs="Arial"/>
          <w:color w:val="192A67"/>
          <w:sz w:val="20"/>
          <w:szCs w:val="20"/>
          <w:lang w:eastAsia="en-US"/>
        </w:rPr>
        <w:t>Ensure your collection and storage systems meet privacy requirements – use systems that are ‘privacy by design’ default.</w:t>
      </w:r>
    </w:p>
    <w:p w14:paraId="0C30BE87" w14:textId="77777777" w:rsidR="00445ECC" w:rsidRPr="00445ECC" w:rsidRDefault="00445ECC" w:rsidP="00445ECC">
      <w:pPr>
        <w:pStyle w:val="ListParagraph"/>
        <w:numPr>
          <w:ilvl w:val="0"/>
          <w:numId w:val="3"/>
        </w:numPr>
        <w:rPr>
          <w:rFonts w:ascii="Arial" w:eastAsiaTheme="minorHAnsi" w:hAnsi="Arial" w:cs="Arial"/>
          <w:color w:val="192A67"/>
          <w:sz w:val="20"/>
          <w:szCs w:val="20"/>
          <w:lang w:eastAsia="en-US"/>
        </w:rPr>
      </w:pPr>
      <w:r w:rsidRPr="00445ECC">
        <w:rPr>
          <w:rFonts w:ascii="Arial" w:eastAsiaTheme="minorHAnsi" w:hAnsi="Arial" w:cs="Arial"/>
          <w:color w:val="192A67"/>
          <w:sz w:val="20"/>
          <w:szCs w:val="20"/>
          <w:lang w:eastAsia="en-US"/>
        </w:rPr>
        <w:t>Only release information to authorised users of the TFN information.</w:t>
      </w:r>
    </w:p>
    <w:p w14:paraId="450A0321" w14:textId="77777777" w:rsidR="00445ECC" w:rsidRPr="00445ECC" w:rsidRDefault="00445ECC" w:rsidP="00445ECC">
      <w:pPr>
        <w:pStyle w:val="ListParagraph"/>
        <w:numPr>
          <w:ilvl w:val="0"/>
          <w:numId w:val="3"/>
        </w:numPr>
        <w:rPr>
          <w:rFonts w:ascii="Arial" w:eastAsiaTheme="minorHAnsi" w:hAnsi="Arial" w:cs="Arial"/>
          <w:color w:val="192A67"/>
          <w:sz w:val="20"/>
          <w:szCs w:val="20"/>
          <w:lang w:eastAsia="en-US"/>
        </w:rPr>
      </w:pPr>
      <w:r w:rsidRPr="00445ECC">
        <w:rPr>
          <w:rFonts w:ascii="Arial" w:eastAsiaTheme="minorHAnsi" w:hAnsi="Arial" w:cs="Arial"/>
          <w:color w:val="192A67"/>
          <w:sz w:val="20"/>
          <w:szCs w:val="20"/>
          <w:lang w:eastAsia="en-US"/>
        </w:rPr>
        <w:t>Train staff on the importance of maintaining confidentiality; set out your security systems clearly in policies and procedures for staff to follow.</w:t>
      </w:r>
    </w:p>
    <w:p w14:paraId="2C26EAC5" w14:textId="77777777" w:rsidR="00445ECC" w:rsidRPr="00445ECC" w:rsidRDefault="00445ECC" w:rsidP="00445ECC">
      <w:pPr>
        <w:pStyle w:val="ListParagraph"/>
        <w:numPr>
          <w:ilvl w:val="0"/>
          <w:numId w:val="3"/>
        </w:numPr>
        <w:rPr>
          <w:rFonts w:ascii="Arial" w:eastAsiaTheme="minorHAnsi" w:hAnsi="Arial" w:cs="Arial"/>
          <w:color w:val="192A67"/>
          <w:sz w:val="20"/>
          <w:szCs w:val="20"/>
          <w:lang w:eastAsia="en-US"/>
        </w:rPr>
      </w:pPr>
      <w:r w:rsidRPr="00445ECC">
        <w:rPr>
          <w:rFonts w:ascii="Arial" w:eastAsiaTheme="minorHAnsi" w:hAnsi="Arial" w:cs="Arial"/>
          <w:color w:val="192A67"/>
          <w:sz w:val="20"/>
          <w:szCs w:val="20"/>
          <w:lang w:eastAsia="en-US"/>
        </w:rPr>
        <w:t>Act on a potential data breach or report on an actual breach as soon as you know about it.</w:t>
      </w:r>
    </w:p>
    <w:p w14:paraId="6C0962FA" w14:textId="77777777" w:rsidR="00445ECC" w:rsidRPr="00445ECC" w:rsidRDefault="00445ECC" w:rsidP="00445ECC">
      <w:pPr>
        <w:pStyle w:val="ListParagraph"/>
        <w:numPr>
          <w:ilvl w:val="0"/>
          <w:numId w:val="3"/>
        </w:numPr>
        <w:rPr>
          <w:rFonts w:ascii="Arial" w:eastAsiaTheme="minorHAnsi" w:hAnsi="Arial" w:cs="Arial"/>
          <w:color w:val="192A67"/>
          <w:sz w:val="20"/>
          <w:szCs w:val="20"/>
          <w:lang w:eastAsia="en-US"/>
        </w:rPr>
      </w:pPr>
      <w:r w:rsidRPr="00445ECC">
        <w:rPr>
          <w:rFonts w:ascii="Arial" w:eastAsiaTheme="minorHAnsi" w:hAnsi="Arial" w:cs="Arial"/>
          <w:color w:val="192A67"/>
          <w:sz w:val="20"/>
          <w:szCs w:val="20"/>
          <w:lang w:eastAsia="en-US"/>
        </w:rPr>
        <w:t>Make two-factor authentication mandatory for all users of accounting and payroll software.</w:t>
      </w:r>
    </w:p>
    <w:p w14:paraId="3F2701BD" w14:textId="77777777" w:rsidR="00445ECC" w:rsidRPr="00445ECC" w:rsidRDefault="00445ECC" w:rsidP="00445ECC">
      <w:pPr>
        <w:pStyle w:val="ListParagraph"/>
        <w:numPr>
          <w:ilvl w:val="0"/>
          <w:numId w:val="3"/>
        </w:numPr>
        <w:rPr>
          <w:rFonts w:ascii="Arial" w:eastAsiaTheme="minorHAnsi" w:hAnsi="Arial" w:cs="Arial"/>
          <w:color w:val="192A67"/>
          <w:sz w:val="20"/>
          <w:szCs w:val="20"/>
          <w:lang w:eastAsia="en-US"/>
        </w:rPr>
      </w:pPr>
      <w:r w:rsidRPr="00445ECC">
        <w:rPr>
          <w:rFonts w:ascii="Arial" w:eastAsiaTheme="minorHAnsi" w:hAnsi="Arial" w:cs="Arial"/>
          <w:color w:val="192A67"/>
          <w:sz w:val="20"/>
          <w:szCs w:val="20"/>
          <w:lang w:eastAsia="en-US"/>
        </w:rPr>
        <w:t>Keep all technology and add-ons updated to current versions.</w:t>
      </w:r>
    </w:p>
    <w:p w14:paraId="567A7F4F" w14:textId="77777777" w:rsidR="00445ECC" w:rsidRPr="00445ECC" w:rsidRDefault="00445ECC" w:rsidP="00445ECC">
      <w:pPr>
        <w:pStyle w:val="ListParagraph"/>
        <w:numPr>
          <w:ilvl w:val="0"/>
          <w:numId w:val="3"/>
        </w:numPr>
        <w:rPr>
          <w:rFonts w:ascii="Arial" w:eastAsiaTheme="minorHAnsi" w:hAnsi="Arial" w:cs="Arial"/>
          <w:color w:val="192A67"/>
          <w:sz w:val="20"/>
          <w:szCs w:val="20"/>
          <w:lang w:eastAsia="en-US"/>
        </w:rPr>
      </w:pPr>
      <w:r w:rsidRPr="00445ECC">
        <w:rPr>
          <w:rFonts w:ascii="Arial" w:eastAsiaTheme="minorHAnsi" w:hAnsi="Arial" w:cs="Arial"/>
          <w:color w:val="192A67"/>
          <w:sz w:val="20"/>
          <w:szCs w:val="20"/>
          <w:lang w:eastAsia="en-US"/>
        </w:rPr>
        <w:t>Have a secure backup system in place for all your client-related files.</w:t>
      </w:r>
    </w:p>
    <w:p w14:paraId="3472D6C3" w14:textId="77777777" w:rsidR="00445ECC" w:rsidRPr="00445ECC" w:rsidRDefault="00445ECC" w:rsidP="00445ECC">
      <w:pPr>
        <w:pStyle w:val="ListParagraph"/>
        <w:numPr>
          <w:ilvl w:val="0"/>
          <w:numId w:val="3"/>
        </w:numPr>
        <w:rPr>
          <w:rFonts w:ascii="Arial" w:eastAsiaTheme="minorHAnsi" w:hAnsi="Arial" w:cs="Arial"/>
          <w:color w:val="192A67"/>
          <w:sz w:val="20"/>
          <w:szCs w:val="20"/>
          <w:lang w:eastAsia="en-US"/>
        </w:rPr>
      </w:pPr>
      <w:r w:rsidRPr="00445ECC">
        <w:rPr>
          <w:rFonts w:ascii="Arial" w:eastAsiaTheme="minorHAnsi" w:hAnsi="Arial" w:cs="Arial"/>
          <w:color w:val="192A67"/>
          <w:sz w:val="20"/>
          <w:szCs w:val="20"/>
          <w:lang w:eastAsia="en-US"/>
        </w:rPr>
        <w:t xml:space="preserve">Destroy or de-identify personal and TFN information once it is no longer required. </w:t>
      </w:r>
    </w:p>
    <w:p w14:paraId="34A5C13F" w14:textId="77777777" w:rsidR="00445ECC" w:rsidRPr="00445ECC" w:rsidRDefault="00445ECC" w:rsidP="00445ECC">
      <w:pPr>
        <w:pStyle w:val="ListParagraph"/>
        <w:numPr>
          <w:ilvl w:val="0"/>
          <w:numId w:val="3"/>
        </w:numPr>
        <w:rPr>
          <w:rFonts w:ascii="Arial" w:eastAsiaTheme="minorHAnsi" w:hAnsi="Arial" w:cs="Arial"/>
          <w:color w:val="192A67"/>
          <w:sz w:val="20"/>
          <w:szCs w:val="20"/>
          <w:lang w:eastAsia="en-US"/>
        </w:rPr>
      </w:pPr>
      <w:r w:rsidRPr="00445ECC">
        <w:rPr>
          <w:rFonts w:ascii="Arial" w:eastAsiaTheme="minorHAnsi" w:hAnsi="Arial" w:cs="Arial"/>
          <w:color w:val="192A67"/>
          <w:sz w:val="20"/>
          <w:szCs w:val="20"/>
          <w:lang w:eastAsia="en-US"/>
        </w:rPr>
        <w:t xml:space="preserve">Perform at least an annual check on personal data you hold about clients and their employees. Destroy personal information still retained for previous clients.    </w:t>
      </w:r>
    </w:p>
    <w:p w14:paraId="55F34F86" w14:textId="77777777" w:rsidR="00445ECC" w:rsidRPr="00445ECC" w:rsidRDefault="00445ECC" w:rsidP="00445ECC">
      <w:pPr>
        <w:pStyle w:val="ListParagraph"/>
        <w:numPr>
          <w:ilvl w:val="0"/>
          <w:numId w:val="3"/>
        </w:numPr>
        <w:rPr>
          <w:rFonts w:ascii="Arial" w:eastAsiaTheme="minorHAnsi" w:hAnsi="Arial" w:cs="Arial"/>
          <w:color w:val="192A67"/>
          <w:sz w:val="20"/>
          <w:szCs w:val="20"/>
          <w:lang w:eastAsia="en-US"/>
        </w:rPr>
      </w:pPr>
      <w:r w:rsidRPr="00445ECC">
        <w:rPr>
          <w:rFonts w:ascii="Arial" w:eastAsiaTheme="minorHAnsi" w:hAnsi="Arial" w:cs="Arial"/>
          <w:color w:val="192A67"/>
          <w:sz w:val="20"/>
          <w:szCs w:val="20"/>
          <w:lang w:eastAsia="en-US"/>
        </w:rPr>
        <w:t>Use a high-security password manager.</w:t>
      </w:r>
    </w:p>
    <w:p w14:paraId="723EA603" w14:textId="77777777" w:rsidR="00445ECC" w:rsidRPr="00445ECC" w:rsidRDefault="00445ECC" w:rsidP="00445ECC">
      <w:pPr>
        <w:pStyle w:val="ListParagraph"/>
        <w:numPr>
          <w:ilvl w:val="0"/>
          <w:numId w:val="3"/>
        </w:numPr>
        <w:rPr>
          <w:rFonts w:ascii="Arial" w:eastAsiaTheme="minorHAnsi" w:hAnsi="Arial" w:cs="Arial"/>
          <w:color w:val="192A67"/>
          <w:sz w:val="20"/>
          <w:szCs w:val="20"/>
          <w:lang w:eastAsia="en-US"/>
        </w:rPr>
      </w:pPr>
      <w:r w:rsidRPr="00445ECC">
        <w:rPr>
          <w:rFonts w:ascii="Arial" w:eastAsiaTheme="minorHAnsi" w:hAnsi="Arial" w:cs="Arial"/>
          <w:color w:val="192A67"/>
          <w:sz w:val="20"/>
          <w:szCs w:val="20"/>
          <w:lang w:eastAsia="en-US"/>
        </w:rPr>
        <w:t xml:space="preserve">Set an auto-expiration date for shared files to limit access to a reasonable and relevant time frame. </w:t>
      </w:r>
    </w:p>
    <w:p w14:paraId="6873B53A" w14:textId="77777777" w:rsidR="00445ECC" w:rsidRPr="00445ECC" w:rsidRDefault="00445ECC" w:rsidP="00445ECC">
      <w:pPr>
        <w:pStyle w:val="ListParagraph"/>
        <w:numPr>
          <w:ilvl w:val="0"/>
          <w:numId w:val="3"/>
        </w:numPr>
        <w:rPr>
          <w:rFonts w:ascii="Arial" w:eastAsiaTheme="minorHAnsi" w:hAnsi="Arial" w:cs="Arial"/>
          <w:color w:val="192A67"/>
          <w:sz w:val="20"/>
          <w:szCs w:val="20"/>
          <w:lang w:eastAsia="en-US"/>
        </w:rPr>
      </w:pPr>
      <w:r w:rsidRPr="00445ECC">
        <w:rPr>
          <w:rFonts w:ascii="Arial" w:eastAsiaTheme="minorHAnsi" w:hAnsi="Arial" w:cs="Arial"/>
          <w:color w:val="192A67"/>
          <w:sz w:val="20"/>
          <w:szCs w:val="20"/>
          <w:lang w:eastAsia="en-US"/>
        </w:rPr>
        <w:t>Only share or use TFN information when authorised to do so.</w:t>
      </w:r>
    </w:p>
    <w:p w14:paraId="39FC60E4" w14:textId="77777777" w:rsidR="00445ECC" w:rsidRDefault="00445ECC" w:rsidP="00445ECC">
      <w:pPr>
        <w:pStyle w:val="ListParagraph"/>
        <w:rPr>
          <w:rFonts w:cs="Tahoma"/>
        </w:rPr>
      </w:pPr>
    </w:p>
    <w:p w14:paraId="221DD71B" w14:textId="77777777" w:rsidR="00445ECC" w:rsidRPr="00445ECC" w:rsidRDefault="00445ECC" w:rsidP="00445ECC">
      <w:pPr>
        <w:rPr>
          <w:rFonts w:ascii="Arial" w:hAnsi="Arial" w:cs="Arial"/>
          <w:color w:val="192A67"/>
          <w:sz w:val="20"/>
          <w:szCs w:val="20"/>
        </w:rPr>
      </w:pPr>
      <w:r w:rsidRPr="00445ECC">
        <w:rPr>
          <w:rFonts w:ascii="Arial" w:hAnsi="Arial" w:cs="Arial"/>
          <w:color w:val="192A67"/>
          <w:sz w:val="20"/>
          <w:szCs w:val="20"/>
        </w:rPr>
        <w:t xml:space="preserve">The TPB states that "the inclusion of a client's TFN in an email by a registered tax practitioner does not, on its own…necessarily give rise to a breach of a law regulating the use and disclosure of TFNs". Therefore, you must consider what is 'reasonable' and practical in the circumstances. However, given the increasing frequency with which emails are hacked, it is best not to use email to exchange TFN information if you can avoid it or unless you have additional security measures linked to your email program. </w:t>
      </w:r>
    </w:p>
    <w:p w14:paraId="2BEB77ED" w14:textId="77777777" w:rsidR="00445ECC" w:rsidRPr="00445ECC" w:rsidRDefault="00445ECC" w:rsidP="00445ECC">
      <w:pPr>
        <w:rPr>
          <w:rFonts w:ascii="Arial" w:hAnsi="Arial" w:cs="Arial"/>
          <w:color w:val="192A67"/>
          <w:sz w:val="20"/>
          <w:szCs w:val="20"/>
        </w:rPr>
      </w:pPr>
      <w:r w:rsidRPr="00445ECC">
        <w:rPr>
          <w:rFonts w:ascii="Arial" w:hAnsi="Arial" w:cs="Arial"/>
          <w:color w:val="192A67"/>
          <w:sz w:val="20"/>
          <w:szCs w:val="20"/>
        </w:rPr>
        <w:t>The TPB practice note provides detailed information about ensuring safety and privacy when using TFN information, including all relevant links to the TPB Code of Professional Conduct, Notifiable Data Breaches Scheme, ATO online security tips, digital record keeping and Australian Privacy Principles Guidelines.</w:t>
      </w:r>
    </w:p>
    <w:p w14:paraId="44E48584" w14:textId="77777777" w:rsidR="00445ECC" w:rsidRDefault="00445ECC" w:rsidP="00445ECC">
      <w:pPr>
        <w:rPr>
          <w:rFonts w:cs="Tahoma"/>
          <w:color w:val="3B3838" w:themeColor="background2" w:themeShade="40"/>
        </w:rPr>
      </w:pPr>
      <w:hyperlink r:id="rId10" w:history="1">
        <w:r w:rsidRPr="00445ECC">
          <w:rPr>
            <w:rStyle w:val="Hyperlink"/>
            <w:rFonts w:ascii="Arial" w:hAnsi="Arial" w:cs="Arial"/>
            <w:color w:val="006600"/>
          </w:rPr>
          <w:t>TPB(PN) 4/2021</w:t>
        </w:r>
      </w:hyperlink>
      <w:r w:rsidRPr="000C7D9C">
        <w:rPr>
          <w:rFonts w:cs="Tahoma"/>
          <w:color w:val="006600"/>
        </w:rPr>
        <w:t xml:space="preserve"> </w:t>
      </w:r>
      <w:r w:rsidRPr="00445ECC">
        <w:rPr>
          <w:rFonts w:ascii="Arial" w:hAnsi="Arial" w:cs="Arial"/>
          <w:color w:val="192A67"/>
          <w:sz w:val="20"/>
          <w:szCs w:val="20"/>
        </w:rPr>
        <w:t>Use and disclosure of a client’s TFN and TFN information in email communications</w:t>
      </w:r>
    </w:p>
    <w:p w14:paraId="78FE98E4" w14:textId="711D2050" w:rsidR="00445ECC" w:rsidRPr="00445ECC" w:rsidRDefault="00445ECC" w:rsidP="005676B1">
      <w:pPr>
        <w:rPr>
          <w:rFonts w:ascii="Arial" w:hAnsi="Arial" w:cs="Arial"/>
          <w:color w:val="006600"/>
        </w:rPr>
      </w:pPr>
      <w:hyperlink r:id="rId11" w:history="1">
        <w:r w:rsidRPr="00445ECC">
          <w:rPr>
            <w:rStyle w:val="Hyperlink"/>
            <w:rFonts w:ascii="Arial" w:hAnsi="Arial" w:cs="Arial"/>
            <w:color w:val="006600"/>
          </w:rPr>
          <w:t>OAIC Guide to securing personal information</w:t>
        </w:r>
      </w:hyperlink>
    </w:p>
    <w:sectPr w:rsidR="00445ECC" w:rsidRPr="00445ECC" w:rsidSect="005676B1">
      <w:head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4E0B" w14:textId="77777777" w:rsidR="005676B1" w:rsidRDefault="005676B1" w:rsidP="005676B1">
      <w:pPr>
        <w:spacing w:after="0" w:line="240" w:lineRule="auto"/>
      </w:pPr>
      <w:r>
        <w:separator/>
      </w:r>
    </w:p>
  </w:endnote>
  <w:endnote w:type="continuationSeparator" w:id="0">
    <w:p w14:paraId="5832B939" w14:textId="77777777" w:rsidR="005676B1" w:rsidRDefault="005676B1" w:rsidP="0056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C858" w14:textId="77777777" w:rsidR="005676B1" w:rsidRDefault="005676B1" w:rsidP="005676B1">
      <w:pPr>
        <w:spacing w:after="0" w:line="240" w:lineRule="auto"/>
      </w:pPr>
      <w:r>
        <w:separator/>
      </w:r>
    </w:p>
  </w:footnote>
  <w:footnote w:type="continuationSeparator" w:id="0">
    <w:p w14:paraId="2415740E" w14:textId="77777777" w:rsidR="005676B1" w:rsidRDefault="005676B1" w:rsidP="0056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2818" w14:textId="73CA74CC" w:rsidR="00284AAE" w:rsidRDefault="00284AAE">
    <w:pPr>
      <w:pStyle w:val="Header"/>
    </w:pPr>
    <w:r>
      <w:rPr>
        <w:noProof/>
      </w:rPr>
      <w:drawing>
        <wp:anchor distT="0" distB="0" distL="114300" distR="114300" simplePos="0" relativeHeight="251658240" behindDoc="1" locked="0" layoutInCell="1" allowOverlap="1" wp14:anchorId="3262257E" wp14:editId="34D101DB">
          <wp:simplePos x="0" y="0"/>
          <wp:positionH relativeFrom="page">
            <wp:posOffset>5582497</wp:posOffset>
          </wp:positionH>
          <wp:positionV relativeFrom="paragraph">
            <wp:posOffset>-457835</wp:posOffset>
          </wp:positionV>
          <wp:extent cx="1959610" cy="1022792"/>
          <wp:effectExtent l="0" t="0" r="0" b="0"/>
          <wp:wrapTight wrapText="bothSides">
            <wp:wrapPolygon edited="0">
              <wp:start x="6299" y="2817"/>
              <wp:lineTo x="4200" y="7647"/>
              <wp:lineTo x="3780" y="8855"/>
              <wp:lineTo x="3780" y="10465"/>
              <wp:lineTo x="5250" y="16502"/>
              <wp:lineTo x="5250" y="17307"/>
              <wp:lineTo x="8189" y="18514"/>
              <wp:lineTo x="17218" y="18514"/>
              <wp:lineTo x="18058" y="16502"/>
              <wp:lineTo x="13439" y="10062"/>
              <wp:lineTo x="7979" y="2817"/>
              <wp:lineTo x="6299" y="2817"/>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610" cy="1022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6C1A63" w14:textId="2F14588F" w:rsidR="00F233BE" w:rsidRDefault="00445ECC" w:rsidP="00284AAE">
    <w:pPr>
      <w:pStyle w:val="Header"/>
      <w:jc w:val="right"/>
      <w:rPr>
        <w:rFonts w:ascii="Arial" w:hAnsi="Arial" w:cs="Arial"/>
        <w:sz w:val="20"/>
        <w:szCs w:val="20"/>
      </w:rPr>
    </w:pPr>
    <w:r>
      <w:rPr>
        <w:rFonts w:ascii="Arial" w:hAnsi="Arial" w:cs="Arial"/>
        <w:sz w:val="20"/>
        <w:szCs w:val="20"/>
      </w:rPr>
      <w:t xml:space="preserve">TPB advice on </w:t>
    </w:r>
    <w:r w:rsidR="00F233BE">
      <w:rPr>
        <w:rFonts w:ascii="Arial" w:hAnsi="Arial" w:cs="Arial"/>
        <w:sz w:val="20"/>
        <w:szCs w:val="20"/>
      </w:rPr>
      <w:t>the use and disclosure of a client’s TFN in emails</w:t>
    </w:r>
  </w:p>
  <w:p w14:paraId="7217A066" w14:textId="164DE46D" w:rsidR="00284AAE" w:rsidRPr="00284AAE" w:rsidRDefault="00F233BE" w:rsidP="00284AAE">
    <w:pPr>
      <w:pStyle w:val="Header"/>
      <w:jc w:val="right"/>
      <w:rPr>
        <w:rFonts w:ascii="Arial" w:hAnsi="Arial" w:cs="Arial"/>
        <w:sz w:val="20"/>
        <w:szCs w:val="20"/>
      </w:rPr>
    </w:pPr>
    <w:r>
      <w:rPr>
        <w:rFonts w:ascii="Arial" w:hAnsi="Arial" w:cs="Arial"/>
        <w:sz w:val="20"/>
        <w:szCs w:val="20"/>
      </w:rPr>
      <w:t>15-2-2023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7D8"/>
    <w:multiLevelType w:val="hybridMultilevel"/>
    <w:tmpl w:val="AF28FD58"/>
    <w:lvl w:ilvl="0" w:tplc="B0DC637A">
      <w:start w:val="1"/>
      <w:numFmt w:val="bullet"/>
      <w:lvlText w:val=""/>
      <w:lvlJc w:val="left"/>
      <w:pPr>
        <w:ind w:left="720" w:hanging="360"/>
      </w:pPr>
      <w:rPr>
        <w:rFonts w:ascii="Symbol" w:hAnsi="Symbol" w:hint="default"/>
      </w:rPr>
    </w:lvl>
    <w:lvl w:ilvl="1" w:tplc="99909538" w:tentative="1">
      <w:start w:val="1"/>
      <w:numFmt w:val="bullet"/>
      <w:lvlText w:val="o"/>
      <w:lvlJc w:val="left"/>
      <w:pPr>
        <w:ind w:left="1440" w:hanging="360"/>
      </w:pPr>
      <w:rPr>
        <w:rFonts w:ascii="Courier New" w:hAnsi="Courier New" w:cs="Courier New" w:hint="default"/>
      </w:rPr>
    </w:lvl>
    <w:lvl w:ilvl="2" w:tplc="34201CD6" w:tentative="1">
      <w:start w:val="1"/>
      <w:numFmt w:val="bullet"/>
      <w:lvlText w:val=""/>
      <w:lvlJc w:val="left"/>
      <w:pPr>
        <w:ind w:left="2160" w:hanging="360"/>
      </w:pPr>
      <w:rPr>
        <w:rFonts w:ascii="Wingdings" w:hAnsi="Wingdings" w:hint="default"/>
      </w:rPr>
    </w:lvl>
    <w:lvl w:ilvl="3" w:tplc="8ABCF1DC" w:tentative="1">
      <w:start w:val="1"/>
      <w:numFmt w:val="bullet"/>
      <w:lvlText w:val=""/>
      <w:lvlJc w:val="left"/>
      <w:pPr>
        <w:ind w:left="2880" w:hanging="360"/>
      </w:pPr>
      <w:rPr>
        <w:rFonts w:ascii="Symbol" w:hAnsi="Symbol" w:hint="default"/>
      </w:rPr>
    </w:lvl>
    <w:lvl w:ilvl="4" w:tplc="101C872A" w:tentative="1">
      <w:start w:val="1"/>
      <w:numFmt w:val="bullet"/>
      <w:lvlText w:val="o"/>
      <w:lvlJc w:val="left"/>
      <w:pPr>
        <w:ind w:left="3600" w:hanging="360"/>
      </w:pPr>
      <w:rPr>
        <w:rFonts w:ascii="Courier New" w:hAnsi="Courier New" w:cs="Courier New" w:hint="default"/>
      </w:rPr>
    </w:lvl>
    <w:lvl w:ilvl="5" w:tplc="D14250E4" w:tentative="1">
      <w:start w:val="1"/>
      <w:numFmt w:val="bullet"/>
      <w:lvlText w:val=""/>
      <w:lvlJc w:val="left"/>
      <w:pPr>
        <w:ind w:left="4320" w:hanging="360"/>
      </w:pPr>
      <w:rPr>
        <w:rFonts w:ascii="Wingdings" w:hAnsi="Wingdings" w:hint="default"/>
      </w:rPr>
    </w:lvl>
    <w:lvl w:ilvl="6" w:tplc="BF886534" w:tentative="1">
      <w:start w:val="1"/>
      <w:numFmt w:val="bullet"/>
      <w:lvlText w:val=""/>
      <w:lvlJc w:val="left"/>
      <w:pPr>
        <w:ind w:left="5040" w:hanging="360"/>
      </w:pPr>
      <w:rPr>
        <w:rFonts w:ascii="Symbol" w:hAnsi="Symbol" w:hint="default"/>
      </w:rPr>
    </w:lvl>
    <w:lvl w:ilvl="7" w:tplc="19763C7E" w:tentative="1">
      <w:start w:val="1"/>
      <w:numFmt w:val="bullet"/>
      <w:lvlText w:val="o"/>
      <w:lvlJc w:val="left"/>
      <w:pPr>
        <w:ind w:left="5760" w:hanging="360"/>
      </w:pPr>
      <w:rPr>
        <w:rFonts w:ascii="Courier New" w:hAnsi="Courier New" w:cs="Courier New" w:hint="default"/>
      </w:rPr>
    </w:lvl>
    <w:lvl w:ilvl="8" w:tplc="3CD07B4C" w:tentative="1">
      <w:start w:val="1"/>
      <w:numFmt w:val="bullet"/>
      <w:lvlText w:val=""/>
      <w:lvlJc w:val="left"/>
      <w:pPr>
        <w:ind w:left="6480" w:hanging="360"/>
      </w:pPr>
      <w:rPr>
        <w:rFonts w:ascii="Wingdings" w:hAnsi="Wingdings" w:hint="default"/>
      </w:rPr>
    </w:lvl>
  </w:abstractNum>
  <w:abstractNum w:abstractNumId="1" w15:restartNumberingAfterBreak="0">
    <w:nsid w:val="143D2F5D"/>
    <w:multiLevelType w:val="hybridMultilevel"/>
    <w:tmpl w:val="80723632"/>
    <w:lvl w:ilvl="0" w:tplc="02F4BFBA">
      <w:start w:val="1"/>
      <w:numFmt w:val="bullet"/>
      <w:lvlText w:val=""/>
      <w:lvlJc w:val="left"/>
      <w:pPr>
        <w:ind w:left="720" w:hanging="360"/>
      </w:pPr>
      <w:rPr>
        <w:rFonts w:ascii="Symbol" w:hAnsi="Symbol" w:hint="default"/>
      </w:rPr>
    </w:lvl>
    <w:lvl w:ilvl="1" w:tplc="E0D4E4DA" w:tentative="1">
      <w:start w:val="1"/>
      <w:numFmt w:val="bullet"/>
      <w:lvlText w:val="o"/>
      <w:lvlJc w:val="left"/>
      <w:pPr>
        <w:ind w:left="1440" w:hanging="360"/>
      </w:pPr>
      <w:rPr>
        <w:rFonts w:ascii="Courier New" w:hAnsi="Courier New" w:cs="Courier New" w:hint="default"/>
      </w:rPr>
    </w:lvl>
    <w:lvl w:ilvl="2" w:tplc="38D6C4D0" w:tentative="1">
      <w:start w:val="1"/>
      <w:numFmt w:val="bullet"/>
      <w:lvlText w:val=""/>
      <w:lvlJc w:val="left"/>
      <w:pPr>
        <w:ind w:left="2160" w:hanging="360"/>
      </w:pPr>
      <w:rPr>
        <w:rFonts w:ascii="Wingdings" w:hAnsi="Wingdings" w:hint="default"/>
      </w:rPr>
    </w:lvl>
    <w:lvl w:ilvl="3" w:tplc="F196BB08" w:tentative="1">
      <w:start w:val="1"/>
      <w:numFmt w:val="bullet"/>
      <w:lvlText w:val=""/>
      <w:lvlJc w:val="left"/>
      <w:pPr>
        <w:ind w:left="2880" w:hanging="360"/>
      </w:pPr>
      <w:rPr>
        <w:rFonts w:ascii="Symbol" w:hAnsi="Symbol" w:hint="default"/>
      </w:rPr>
    </w:lvl>
    <w:lvl w:ilvl="4" w:tplc="999C69A6" w:tentative="1">
      <w:start w:val="1"/>
      <w:numFmt w:val="bullet"/>
      <w:lvlText w:val="o"/>
      <w:lvlJc w:val="left"/>
      <w:pPr>
        <w:ind w:left="3600" w:hanging="360"/>
      </w:pPr>
      <w:rPr>
        <w:rFonts w:ascii="Courier New" w:hAnsi="Courier New" w:cs="Courier New" w:hint="default"/>
      </w:rPr>
    </w:lvl>
    <w:lvl w:ilvl="5" w:tplc="77E03B9A" w:tentative="1">
      <w:start w:val="1"/>
      <w:numFmt w:val="bullet"/>
      <w:lvlText w:val=""/>
      <w:lvlJc w:val="left"/>
      <w:pPr>
        <w:ind w:left="4320" w:hanging="360"/>
      </w:pPr>
      <w:rPr>
        <w:rFonts w:ascii="Wingdings" w:hAnsi="Wingdings" w:hint="default"/>
      </w:rPr>
    </w:lvl>
    <w:lvl w:ilvl="6" w:tplc="E8EAE9E0" w:tentative="1">
      <w:start w:val="1"/>
      <w:numFmt w:val="bullet"/>
      <w:lvlText w:val=""/>
      <w:lvlJc w:val="left"/>
      <w:pPr>
        <w:ind w:left="5040" w:hanging="360"/>
      </w:pPr>
      <w:rPr>
        <w:rFonts w:ascii="Symbol" w:hAnsi="Symbol" w:hint="default"/>
      </w:rPr>
    </w:lvl>
    <w:lvl w:ilvl="7" w:tplc="EAE0188E" w:tentative="1">
      <w:start w:val="1"/>
      <w:numFmt w:val="bullet"/>
      <w:lvlText w:val="o"/>
      <w:lvlJc w:val="left"/>
      <w:pPr>
        <w:ind w:left="5760" w:hanging="360"/>
      </w:pPr>
      <w:rPr>
        <w:rFonts w:ascii="Courier New" w:hAnsi="Courier New" w:cs="Courier New" w:hint="default"/>
      </w:rPr>
    </w:lvl>
    <w:lvl w:ilvl="8" w:tplc="7F06874C" w:tentative="1">
      <w:start w:val="1"/>
      <w:numFmt w:val="bullet"/>
      <w:lvlText w:val=""/>
      <w:lvlJc w:val="left"/>
      <w:pPr>
        <w:ind w:left="6480" w:hanging="360"/>
      </w:pPr>
      <w:rPr>
        <w:rFonts w:ascii="Wingdings" w:hAnsi="Wingdings" w:hint="default"/>
      </w:rPr>
    </w:lvl>
  </w:abstractNum>
  <w:abstractNum w:abstractNumId="2" w15:restartNumberingAfterBreak="0">
    <w:nsid w:val="5577079E"/>
    <w:multiLevelType w:val="hybridMultilevel"/>
    <w:tmpl w:val="DC7E4BC8"/>
    <w:lvl w:ilvl="0" w:tplc="326829D0">
      <w:start w:val="1"/>
      <w:numFmt w:val="bullet"/>
      <w:lvlText w:val=""/>
      <w:lvlJc w:val="left"/>
      <w:pPr>
        <w:ind w:left="720" w:hanging="360"/>
      </w:pPr>
      <w:rPr>
        <w:rFonts w:ascii="Symbol" w:hAnsi="Symbol" w:hint="default"/>
      </w:rPr>
    </w:lvl>
    <w:lvl w:ilvl="1" w:tplc="75641300" w:tentative="1">
      <w:start w:val="1"/>
      <w:numFmt w:val="bullet"/>
      <w:lvlText w:val="o"/>
      <w:lvlJc w:val="left"/>
      <w:pPr>
        <w:ind w:left="1440" w:hanging="360"/>
      </w:pPr>
      <w:rPr>
        <w:rFonts w:ascii="Courier New" w:hAnsi="Courier New" w:cs="Courier New" w:hint="default"/>
      </w:rPr>
    </w:lvl>
    <w:lvl w:ilvl="2" w:tplc="5950EA8E" w:tentative="1">
      <w:start w:val="1"/>
      <w:numFmt w:val="bullet"/>
      <w:lvlText w:val=""/>
      <w:lvlJc w:val="left"/>
      <w:pPr>
        <w:ind w:left="2160" w:hanging="360"/>
      </w:pPr>
      <w:rPr>
        <w:rFonts w:ascii="Wingdings" w:hAnsi="Wingdings" w:hint="default"/>
      </w:rPr>
    </w:lvl>
    <w:lvl w:ilvl="3" w:tplc="EB5AA214" w:tentative="1">
      <w:start w:val="1"/>
      <w:numFmt w:val="bullet"/>
      <w:lvlText w:val=""/>
      <w:lvlJc w:val="left"/>
      <w:pPr>
        <w:ind w:left="2880" w:hanging="360"/>
      </w:pPr>
      <w:rPr>
        <w:rFonts w:ascii="Symbol" w:hAnsi="Symbol" w:hint="default"/>
      </w:rPr>
    </w:lvl>
    <w:lvl w:ilvl="4" w:tplc="7CC29F0C" w:tentative="1">
      <w:start w:val="1"/>
      <w:numFmt w:val="bullet"/>
      <w:lvlText w:val="o"/>
      <w:lvlJc w:val="left"/>
      <w:pPr>
        <w:ind w:left="3600" w:hanging="360"/>
      </w:pPr>
      <w:rPr>
        <w:rFonts w:ascii="Courier New" w:hAnsi="Courier New" w:cs="Courier New" w:hint="default"/>
      </w:rPr>
    </w:lvl>
    <w:lvl w:ilvl="5" w:tplc="3C76CD9E" w:tentative="1">
      <w:start w:val="1"/>
      <w:numFmt w:val="bullet"/>
      <w:lvlText w:val=""/>
      <w:lvlJc w:val="left"/>
      <w:pPr>
        <w:ind w:left="4320" w:hanging="360"/>
      </w:pPr>
      <w:rPr>
        <w:rFonts w:ascii="Wingdings" w:hAnsi="Wingdings" w:hint="default"/>
      </w:rPr>
    </w:lvl>
    <w:lvl w:ilvl="6" w:tplc="C4A6B758" w:tentative="1">
      <w:start w:val="1"/>
      <w:numFmt w:val="bullet"/>
      <w:lvlText w:val=""/>
      <w:lvlJc w:val="left"/>
      <w:pPr>
        <w:ind w:left="5040" w:hanging="360"/>
      </w:pPr>
      <w:rPr>
        <w:rFonts w:ascii="Symbol" w:hAnsi="Symbol" w:hint="default"/>
      </w:rPr>
    </w:lvl>
    <w:lvl w:ilvl="7" w:tplc="4DE6F436" w:tentative="1">
      <w:start w:val="1"/>
      <w:numFmt w:val="bullet"/>
      <w:lvlText w:val="o"/>
      <w:lvlJc w:val="left"/>
      <w:pPr>
        <w:ind w:left="5760" w:hanging="360"/>
      </w:pPr>
      <w:rPr>
        <w:rFonts w:ascii="Courier New" w:hAnsi="Courier New" w:cs="Courier New" w:hint="default"/>
      </w:rPr>
    </w:lvl>
    <w:lvl w:ilvl="8" w:tplc="3EB2A630" w:tentative="1">
      <w:start w:val="1"/>
      <w:numFmt w:val="bullet"/>
      <w:lvlText w:val=""/>
      <w:lvlJc w:val="left"/>
      <w:pPr>
        <w:ind w:left="6480" w:hanging="360"/>
      </w:pPr>
      <w:rPr>
        <w:rFonts w:ascii="Wingdings" w:hAnsi="Wingdings" w:hint="default"/>
      </w:rPr>
    </w:lvl>
  </w:abstractNum>
  <w:abstractNum w:abstractNumId="3" w15:restartNumberingAfterBreak="0">
    <w:nsid w:val="60973E41"/>
    <w:multiLevelType w:val="hybridMultilevel"/>
    <w:tmpl w:val="3FD8AD0A"/>
    <w:lvl w:ilvl="0" w:tplc="325A09EE">
      <w:start w:val="1"/>
      <w:numFmt w:val="bullet"/>
      <w:lvlText w:val=""/>
      <w:lvlJc w:val="left"/>
      <w:pPr>
        <w:ind w:left="720" w:hanging="360"/>
      </w:pPr>
      <w:rPr>
        <w:rFonts w:ascii="Symbol" w:hAnsi="Symbol" w:hint="default"/>
      </w:rPr>
    </w:lvl>
    <w:lvl w:ilvl="1" w:tplc="5E7E94BA" w:tentative="1">
      <w:start w:val="1"/>
      <w:numFmt w:val="bullet"/>
      <w:lvlText w:val="o"/>
      <w:lvlJc w:val="left"/>
      <w:pPr>
        <w:ind w:left="1440" w:hanging="360"/>
      </w:pPr>
      <w:rPr>
        <w:rFonts w:ascii="Courier New" w:hAnsi="Courier New" w:cs="Courier New" w:hint="default"/>
      </w:rPr>
    </w:lvl>
    <w:lvl w:ilvl="2" w:tplc="3FCAAF16" w:tentative="1">
      <w:start w:val="1"/>
      <w:numFmt w:val="bullet"/>
      <w:lvlText w:val=""/>
      <w:lvlJc w:val="left"/>
      <w:pPr>
        <w:ind w:left="2160" w:hanging="360"/>
      </w:pPr>
      <w:rPr>
        <w:rFonts w:ascii="Wingdings" w:hAnsi="Wingdings" w:hint="default"/>
      </w:rPr>
    </w:lvl>
    <w:lvl w:ilvl="3" w:tplc="66C88DCE" w:tentative="1">
      <w:start w:val="1"/>
      <w:numFmt w:val="bullet"/>
      <w:lvlText w:val=""/>
      <w:lvlJc w:val="left"/>
      <w:pPr>
        <w:ind w:left="2880" w:hanging="360"/>
      </w:pPr>
      <w:rPr>
        <w:rFonts w:ascii="Symbol" w:hAnsi="Symbol" w:hint="default"/>
      </w:rPr>
    </w:lvl>
    <w:lvl w:ilvl="4" w:tplc="B0540D18" w:tentative="1">
      <w:start w:val="1"/>
      <w:numFmt w:val="bullet"/>
      <w:lvlText w:val="o"/>
      <w:lvlJc w:val="left"/>
      <w:pPr>
        <w:ind w:left="3600" w:hanging="360"/>
      </w:pPr>
      <w:rPr>
        <w:rFonts w:ascii="Courier New" w:hAnsi="Courier New" w:cs="Courier New" w:hint="default"/>
      </w:rPr>
    </w:lvl>
    <w:lvl w:ilvl="5" w:tplc="CA5CD59A" w:tentative="1">
      <w:start w:val="1"/>
      <w:numFmt w:val="bullet"/>
      <w:lvlText w:val=""/>
      <w:lvlJc w:val="left"/>
      <w:pPr>
        <w:ind w:left="4320" w:hanging="360"/>
      </w:pPr>
      <w:rPr>
        <w:rFonts w:ascii="Wingdings" w:hAnsi="Wingdings" w:hint="default"/>
      </w:rPr>
    </w:lvl>
    <w:lvl w:ilvl="6" w:tplc="2D6CE220" w:tentative="1">
      <w:start w:val="1"/>
      <w:numFmt w:val="bullet"/>
      <w:lvlText w:val=""/>
      <w:lvlJc w:val="left"/>
      <w:pPr>
        <w:ind w:left="5040" w:hanging="360"/>
      </w:pPr>
      <w:rPr>
        <w:rFonts w:ascii="Symbol" w:hAnsi="Symbol" w:hint="default"/>
      </w:rPr>
    </w:lvl>
    <w:lvl w:ilvl="7" w:tplc="73CE3016" w:tentative="1">
      <w:start w:val="1"/>
      <w:numFmt w:val="bullet"/>
      <w:lvlText w:val="o"/>
      <w:lvlJc w:val="left"/>
      <w:pPr>
        <w:ind w:left="5760" w:hanging="360"/>
      </w:pPr>
      <w:rPr>
        <w:rFonts w:ascii="Courier New" w:hAnsi="Courier New" w:cs="Courier New" w:hint="default"/>
      </w:rPr>
    </w:lvl>
    <w:lvl w:ilvl="8" w:tplc="299CAF0C" w:tentative="1">
      <w:start w:val="1"/>
      <w:numFmt w:val="bullet"/>
      <w:lvlText w:val=""/>
      <w:lvlJc w:val="left"/>
      <w:pPr>
        <w:ind w:left="6480" w:hanging="360"/>
      </w:pPr>
      <w:rPr>
        <w:rFonts w:ascii="Wingdings" w:hAnsi="Wingdings" w:hint="default"/>
      </w:rPr>
    </w:lvl>
  </w:abstractNum>
  <w:num w:numId="1" w16cid:durableId="2027175043">
    <w:abstractNumId w:val="0"/>
  </w:num>
  <w:num w:numId="2" w16cid:durableId="1237862539">
    <w:abstractNumId w:val="2"/>
  </w:num>
  <w:num w:numId="3" w16cid:durableId="213469379">
    <w:abstractNumId w:val="1"/>
  </w:num>
  <w:num w:numId="4" w16cid:durableId="5816430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B1"/>
    <w:rsid w:val="00284AAE"/>
    <w:rsid w:val="004431A4"/>
    <w:rsid w:val="00445ECC"/>
    <w:rsid w:val="0049342F"/>
    <w:rsid w:val="00537617"/>
    <w:rsid w:val="005676B1"/>
    <w:rsid w:val="00814EB2"/>
    <w:rsid w:val="0088408A"/>
    <w:rsid w:val="00F233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0BBA0"/>
  <w15:chartTrackingRefBased/>
  <w15:docId w15:val="{9FD5C155-08F2-4C0A-8FF0-27145689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6B1"/>
  </w:style>
  <w:style w:type="paragraph" w:styleId="Footer">
    <w:name w:val="footer"/>
    <w:basedOn w:val="Normal"/>
    <w:link w:val="FooterChar"/>
    <w:uiPriority w:val="99"/>
    <w:unhideWhenUsed/>
    <w:rsid w:val="00567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6B1"/>
  </w:style>
  <w:style w:type="paragraph" w:styleId="ListParagraph">
    <w:name w:val="List Paragraph"/>
    <w:aliases w:val="Bullets"/>
    <w:basedOn w:val="Normal"/>
    <w:uiPriority w:val="34"/>
    <w:qFormat/>
    <w:rsid w:val="0088408A"/>
    <w:pPr>
      <w:spacing w:after="0" w:line="240" w:lineRule="auto"/>
      <w:ind w:left="720"/>
      <w:contextualSpacing/>
    </w:pPr>
    <w:rPr>
      <w:rFonts w:ascii="Tahoma" w:eastAsia="Times New Roman" w:hAnsi="Tahoma" w:cs="Times New Roman"/>
      <w:color w:val="404040" w:themeColor="text1" w:themeTint="BF"/>
      <w:sz w:val="24"/>
      <w:szCs w:val="24"/>
      <w:lang w:eastAsia="en-GB"/>
    </w:rPr>
  </w:style>
  <w:style w:type="character" w:styleId="Hyperlink">
    <w:name w:val="Hyperlink"/>
    <w:basedOn w:val="DefaultParagraphFont"/>
    <w:uiPriority w:val="99"/>
    <w:unhideWhenUsed/>
    <w:rsid w:val="004431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aic.gov.au/privacy/guidance-and-advice/guide-to-securing-personal-information/"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www.tpb.gov.au/tpb-practice-note-tpbpn-42021-use-and-disclosure-clients-tfn-and-tfn-information-email" TargetMode="External"/><Relationship Id="rId4" Type="http://schemas.openxmlformats.org/officeDocument/2006/relationships/styles" Target="styles.xml"/><Relationship Id="rId9" Type="http://schemas.openxmlformats.org/officeDocument/2006/relationships/hyperlink" Target="https://www.tpb.gov.au/tpb-practice-note-tpbpn-42021-use-and-disclosure-clients-tfn-and-tfn-information-emai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3F0D34D402BD4BBB63F09A3C570345" ma:contentTypeVersion="12" ma:contentTypeDescription="Create a new document." ma:contentTypeScope="" ma:versionID="acd2e8874743844c8f782bb742f6bf1d">
  <xsd:schema xmlns:xsd="http://www.w3.org/2001/XMLSchema" xmlns:xs="http://www.w3.org/2001/XMLSchema" xmlns:p="http://schemas.microsoft.com/office/2006/metadata/properties" xmlns:ns2="793f0634-c579-4d4c-82e4-4eaf255175d7" xmlns:ns3="541cc66e-111c-4114-b939-b8cea1961697" targetNamespace="http://schemas.microsoft.com/office/2006/metadata/properties" ma:root="true" ma:fieldsID="44ce92b88af1b8a8564ea54b72678449" ns2:_="" ns3:_="">
    <xsd:import namespace="793f0634-c579-4d4c-82e4-4eaf255175d7"/>
    <xsd:import namespace="541cc66e-111c-4114-b939-b8cea1961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f0634-c579-4d4c-82e4-4eaf25517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cc66e-111c-4114-b939-b8cea19616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2A3270-2903-4E8D-A87C-5D55EEA12C46}">
  <ds:schemaRefs>
    <ds:schemaRef ds:uri="http://schemas.microsoft.com/sharepoint/v3/contenttype/forms"/>
  </ds:schemaRefs>
</ds:datastoreItem>
</file>

<file path=customXml/itemProps2.xml><?xml version="1.0" encoding="utf-8"?>
<ds:datastoreItem xmlns:ds="http://schemas.openxmlformats.org/officeDocument/2006/customXml" ds:itemID="{18EDBB34-993F-4996-AB5E-4EC5B159522C}"/>
</file>

<file path=customXml/itemProps3.xml><?xml version="1.0" encoding="utf-8"?>
<ds:datastoreItem xmlns:ds="http://schemas.openxmlformats.org/officeDocument/2006/customXml" ds:itemID="{58DE3299-77DB-43AB-9BA8-0AB8C989D036}"/>
</file>

<file path=docProps/app.xml><?xml version="1.0" encoding="utf-8"?>
<Properties xmlns="http://schemas.openxmlformats.org/officeDocument/2006/extended-properties" xmlns:vt="http://schemas.openxmlformats.org/officeDocument/2006/docPropsVTypes">
  <Template>Normal</Template>
  <TotalTime>28</TotalTime>
  <Pages>2</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IPA Group</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Tu</dc:creator>
  <cp:keywords/>
  <dc:description/>
  <cp:lastModifiedBy>Irwin Bushnell</cp:lastModifiedBy>
  <cp:revision>2</cp:revision>
  <dcterms:created xsi:type="dcterms:W3CDTF">2023-02-15T23:25:00Z</dcterms:created>
  <dcterms:modified xsi:type="dcterms:W3CDTF">2023-02-15T23:25:00Z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0x010100F93F0D34D402BD4BBB63F09A3C570345</vt:lpwstr>
  </property>
</Properties>
</file>