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35111900" w14:textId="77777777" w:rsidR="00500545" w:rsidRPr="00500545" w:rsidRDefault="00500545" w:rsidP="00500545">
      <w:pPr>
        <w:rPr>
          <w:rFonts w:ascii="Arial" w:hAnsi="Arial" w:cs="Arial"/>
          <w:b/>
          <w:color w:val="192A67"/>
          <w:sz w:val="24"/>
          <w:szCs w:val="24"/>
        </w:rPr>
      </w:pPr>
      <w:r w:rsidRPr="00500545">
        <w:rPr>
          <w:rFonts w:ascii="Arial" w:hAnsi="Arial" w:cs="Arial"/>
          <w:b/>
          <w:color w:val="192A67"/>
          <w:sz w:val="24"/>
          <w:szCs w:val="24"/>
        </w:rPr>
        <w:t>TPB Continuing Professional Education Requirements from 1 July 2022</w:t>
      </w:r>
    </w:p>
    <w:p w14:paraId="45BBC1BD" w14:textId="77777777" w:rsidR="00500545" w:rsidRDefault="00500545" w:rsidP="00500545">
      <w:pPr>
        <w:rPr>
          <w:rFonts w:ascii="Arial" w:hAnsi="Arial" w:cs="Arial"/>
          <w:color w:val="192A67"/>
          <w:sz w:val="20"/>
          <w:szCs w:val="20"/>
        </w:rPr>
      </w:pPr>
    </w:p>
    <w:p w14:paraId="4790A40C" w14:textId="177A3123" w:rsidR="00500545" w:rsidRPr="00500545" w:rsidRDefault="00500545" w:rsidP="00500545">
      <w:pPr>
        <w:rPr>
          <w:rFonts w:ascii="Arial" w:hAnsi="Arial" w:cs="Arial"/>
          <w:color w:val="192A67"/>
          <w:sz w:val="20"/>
          <w:szCs w:val="20"/>
        </w:rPr>
      </w:pPr>
      <w:r w:rsidRPr="00500545">
        <w:rPr>
          <w:rFonts w:ascii="Arial" w:hAnsi="Arial" w:cs="Arial"/>
          <w:color w:val="192A67"/>
          <w:sz w:val="20"/>
          <w:szCs w:val="20"/>
        </w:rPr>
        <w:t>The new CPE requirements for registered BAS agents started on 1 July 2022.</w:t>
      </w:r>
    </w:p>
    <w:p w14:paraId="6F0366FA" w14:textId="77777777" w:rsidR="00500545" w:rsidRPr="00500545" w:rsidRDefault="00500545" w:rsidP="00500545">
      <w:pPr>
        <w:pStyle w:val="ListParagraph"/>
        <w:numPr>
          <w:ilvl w:val="0"/>
          <w:numId w:val="3"/>
        </w:numPr>
        <w:rPr>
          <w:rFonts w:ascii="Arial" w:eastAsiaTheme="minorHAnsi" w:hAnsi="Arial" w:cs="Arial"/>
          <w:color w:val="192A67"/>
          <w:sz w:val="20"/>
          <w:szCs w:val="20"/>
          <w:lang w:eastAsia="en-US"/>
        </w:rPr>
      </w:pPr>
      <w:r w:rsidRPr="00500545">
        <w:rPr>
          <w:rFonts w:ascii="Arial" w:eastAsiaTheme="minorHAnsi" w:hAnsi="Arial" w:cs="Arial"/>
          <w:color w:val="192A67"/>
          <w:sz w:val="20"/>
          <w:szCs w:val="20"/>
          <w:lang w:eastAsia="en-US"/>
        </w:rPr>
        <w:t>90 hours of CPE over three years.</w:t>
      </w:r>
    </w:p>
    <w:p w14:paraId="709273F0" w14:textId="77777777" w:rsidR="00500545" w:rsidRPr="00500545" w:rsidRDefault="00500545" w:rsidP="00500545">
      <w:pPr>
        <w:pStyle w:val="ListParagraph"/>
        <w:numPr>
          <w:ilvl w:val="0"/>
          <w:numId w:val="3"/>
        </w:numPr>
        <w:rPr>
          <w:rFonts w:ascii="Arial" w:eastAsiaTheme="minorHAnsi" w:hAnsi="Arial" w:cs="Arial"/>
          <w:color w:val="192A67"/>
          <w:sz w:val="20"/>
          <w:szCs w:val="20"/>
          <w:lang w:eastAsia="en-US"/>
        </w:rPr>
      </w:pPr>
      <w:r w:rsidRPr="00500545">
        <w:rPr>
          <w:rFonts w:ascii="Arial" w:eastAsiaTheme="minorHAnsi" w:hAnsi="Arial" w:cs="Arial"/>
          <w:color w:val="192A67"/>
          <w:sz w:val="20"/>
          <w:szCs w:val="20"/>
          <w:lang w:eastAsia="en-US"/>
        </w:rPr>
        <w:t>Minimum of 20 hours per year.</w:t>
      </w:r>
    </w:p>
    <w:p w14:paraId="3D76A66A" w14:textId="77777777" w:rsidR="00500545" w:rsidRPr="00500545" w:rsidRDefault="00500545" w:rsidP="00500545">
      <w:pPr>
        <w:pStyle w:val="ListParagraph"/>
        <w:numPr>
          <w:ilvl w:val="0"/>
          <w:numId w:val="3"/>
        </w:numPr>
        <w:rPr>
          <w:rFonts w:ascii="Arial" w:eastAsiaTheme="minorHAnsi" w:hAnsi="Arial" w:cs="Arial"/>
          <w:color w:val="192A67"/>
          <w:sz w:val="20"/>
          <w:szCs w:val="20"/>
          <w:lang w:eastAsia="en-US"/>
        </w:rPr>
      </w:pPr>
      <w:r w:rsidRPr="00500545">
        <w:rPr>
          <w:rFonts w:ascii="Arial" w:eastAsiaTheme="minorHAnsi" w:hAnsi="Arial" w:cs="Arial"/>
          <w:color w:val="192A67"/>
          <w:sz w:val="20"/>
          <w:szCs w:val="20"/>
          <w:lang w:eastAsia="en-US"/>
        </w:rPr>
        <w:t>CPE records must be kept for five years.</w:t>
      </w:r>
    </w:p>
    <w:p w14:paraId="0BDAFD76" w14:textId="77777777" w:rsidR="00500545" w:rsidRPr="00500545" w:rsidRDefault="00500545" w:rsidP="00500545">
      <w:pPr>
        <w:pStyle w:val="ListParagraph"/>
        <w:numPr>
          <w:ilvl w:val="0"/>
          <w:numId w:val="3"/>
        </w:numPr>
        <w:rPr>
          <w:rFonts w:ascii="Arial" w:eastAsiaTheme="minorHAnsi" w:hAnsi="Arial" w:cs="Arial"/>
          <w:color w:val="192A67"/>
          <w:sz w:val="20"/>
          <w:szCs w:val="20"/>
          <w:lang w:eastAsia="en-US"/>
        </w:rPr>
      </w:pPr>
      <w:r w:rsidRPr="00500545">
        <w:rPr>
          <w:rFonts w:ascii="Arial" w:eastAsiaTheme="minorHAnsi" w:hAnsi="Arial" w:cs="Arial"/>
          <w:color w:val="192A67"/>
          <w:sz w:val="20"/>
          <w:szCs w:val="20"/>
          <w:lang w:eastAsia="en-US"/>
        </w:rPr>
        <w:t>More flexibility for those facing exceptional circumstances such as natural disasters or medical crises.</w:t>
      </w:r>
    </w:p>
    <w:p w14:paraId="6B3A603F" w14:textId="77777777" w:rsidR="00500545" w:rsidRPr="00500545" w:rsidRDefault="00500545" w:rsidP="00500545">
      <w:pPr>
        <w:pStyle w:val="ListParagraph"/>
        <w:numPr>
          <w:ilvl w:val="0"/>
          <w:numId w:val="3"/>
        </w:numPr>
        <w:rPr>
          <w:rFonts w:ascii="Arial" w:eastAsiaTheme="minorHAnsi" w:hAnsi="Arial" w:cs="Arial"/>
          <w:color w:val="192A67"/>
          <w:sz w:val="20"/>
          <w:szCs w:val="20"/>
          <w:lang w:eastAsia="en-US"/>
        </w:rPr>
      </w:pPr>
      <w:r w:rsidRPr="00500545">
        <w:rPr>
          <w:rFonts w:ascii="Arial" w:eastAsiaTheme="minorHAnsi" w:hAnsi="Arial" w:cs="Arial"/>
          <w:color w:val="192A67"/>
          <w:sz w:val="20"/>
          <w:szCs w:val="20"/>
          <w:lang w:eastAsia="en-US"/>
        </w:rPr>
        <w:t>Option to align CPE period with AAT membership period.</w:t>
      </w:r>
    </w:p>
    <w:p w14:paraId="398B3C8F" w14:textId="77777777" w:rsidR="00500545" w:rsidRPr="00500545" w:rsidRDefault="00500545" w:rsidP="00500545">
      <w:pPr>
        <w:pStyle w:val="ListParagraph"/>
        <w:numPr>
          <w:ilvl w:val="0"/>
          <w:numId w:val="3"/>
        </w:numPr>
        <w:rPr>
          <w:rFonts w:ascii="Arial" w:eastAsiaTheme="minorHAnsi" w:hAnsi="Arial" w:cs="Arial"/>
          <w:color w:val="192A67"/>
          <w:sz w:val="20"/>
          <w:szCs w:val="20"/>
          <w:lang w:eastAsia="en-US"/>
        </w:rPr>
      </w:pPr>
      <w:r w:rsidRPr="00500545">
        <w:rPr>
          <w:rFonts w:ascii="Arial" w:eastAsiaTheme="minorHAnsi" w:hAnsi="Arial" w:cs="Arial"/>
          <w:color w:val="192A67"/>
          <w:sz w:val="20"/>
          <w:szCs w:val="20"/>
          <w:lang w:eastAsia="en-US"/>
        </w:rPr>
        <w:t>For new agents registering on or after 1 July 2022, the new CPE requirements will apply from the date of registration.</w:t>
      </w:r>
    </w:p>
    <w:p w14:paraId="2D9F148A" w14:textId="77777777" w:rsidR="00500545" w:rsidRPr="00500545" w:rsidRDefault="00500545" w:rsidP="00500545">
      <w:pPr>
        <w:pStyle w:val="ListParagraph"/>
        <w:numPr>
          <w:ilvl w:val="0"/>
          <w:numId w:val="3"/>
        </w:numPr>
        <w:rPr>
          <w:rFonts w:ascii="Arial" w:eastAsiaTheme="minorHAnsi" w:hAnsi="Arial" w:cs="Arial"/>
          <w:color w:val="192A67"/>
          <w:sz w:val="20"/>
          <w:szCs w:val="20"/>
          <w:lang w:eastAsia="en-US"/>
        </w:rPr>
      </w:pPr>
      <w:r w:rsidRPr="00500545">
        <w:rPr>
          <w:rFonts w:ascii="Arial" w:eastAsiaTheme="minorHAnsi" w:hAnsi="Arial" w:cs="Arial"/>
          <w:color w:val="192A67"/>
          <w:sz w:val="20"/>
          <w:szCs w:val="20"/>
          <w:lang w:eastAsia="en-US"/>
        </w:rPr>
        <w:t>For existing agents renewing after 1 July 2022, the new requirements will apply from the date of renewed registration.</w:t>
      </w:r>
    </w:p>
    <w:p w14:paraId="4AE3BCC3" w14:textId="77777777" w:rsidR="00500545" w:rsidRDefault="00500545" w:rsidP="00500545">
      <w:pPr>
        <w:rPr>
          <w:rFonts w:cs="Tahoma"/>
        </w:rPr>
      </w:pPr>
    </w:p>
    <w:p w14:paraId="1DCD5B62" w14:textId="77777777" w:rsidR="00500545" w:rsidRPr="00500545" w:rsidRDefault="00500545" w:rsidP="00500545">
      <w:pPr>
        <w:rPr>
          <w:rFonts w:ascii="Arial" w:hAnsi="Arial" w:cs="Arial"/>
          <w:b/>
          <w:color w:val="192A67"/>
          <w:sz w:val="24"/>
          <w:szCs w:val="24"/>
        </w:rPr>
      </w:pPr>
      <w:r w:rsidRPr="00500545">
        <w:rPr>
          <w:rFonts w:ascii="Arial" w:hAnsi="Arial" w:cs="Arial"/>
          <w:b/>
          <w:color w:val="192A67"/>
          <w:sz w:val="24"/>
          <w:szCs w:val="24"/>
        </w:rPr>
        <w:t>Relevant CPE</w:t>
      </w:r>
    </w:p>
    <w:p w14:paraId="6A379092" w14:textId="77777777" w:rsidR="00500545" w:rsidRPr="00500545" w:rsidRDefault="00500545" w:rsidP="00500545">
      <w:pPr>
        <w:rPr>
          <w:rFonts w:ascii="Arial" w:hAnsi="Arial" w:cs="Arial"/>
          <w:color w:val="192A67"/>
          <w:sz w:val="20"/>
          <w:szCs w:val="20"/>
        </w:rPr>
      </w:pPr>
      <w:r w:rsidRPr="00500545">
        <w:rPr>
          <w:rFonts w:ascii="Arial" w:hAnsi="Arial" w:cs="Arial"/>
          <w:color w:val="192A67"/>
          <w:sz w:val="20"/>
          <w:szCs w:val="20"/>
        </w:rPr>
        <w:t>Continuing professional education or development is very broad and may cover areas of development and learning not directly related to BAS services.</w:t>
      </w:r>
    </w:p>
    <w:p w14:paraId="7D743C13" w14:textId="77777777" w:rsidR="00500545" w:rsidRPr="00500545" w:rsidRDefault="00500545" w:rsidP="00500545">
      <w:pPr>
        <w:rPr>
          <w:rFonts w:ascii="Arial" w:hAnsi="Arial" w:cs="Arial"/>
          <w:color w:val="192A67"/>
          <w:sz w:val="20"/>
          <w:szCs w:val="20"/>
        </w:rPr>
      </w:pPr>
      <w:r w:rsidRPr="00500545">
        <w:rPr>
          <w:rFonts w:ascii="Arial" w:hAnsi="Arial" w:cs="Arial"/>
          <w:color w:val="192A67"/>
          <w:sz w:val="20"/>
          <w:szCs w:val="20"/>
        </w:rPr>
        <w:t xml:space="preserve">If you engage in activities or education for business development purposes, for example, marketing, software training, or communication skills, these CPE hours don’t necessarily count towards the TPB required hours. The key is whether the education or development is related to providing BAS services and the currency of knowledge you must maintain </w:t>
      </w:r>
      <w:proofErr w:type="gramStart"/>
      <w:r w:rsidRPr="00500545">
        <w:rPr>
          <w:rFonts w:ascii="Arial" w:hAnsi="Arial" w:cs="Arial"/>
          <w:color w:val="192A67"/>
          <w:sz w:val="20"/>
          <w:szCs w:val="20"/>
        </w:rPr>
        <w:t>in order to</w:t>
      </w:r>
      <w:proofErr w:type="gramEnd"/>
      <w:r w:rsidRPr="00500545">
        <w:rPr>
          <w:rFonts w:ascii="Arial" w:hAnsi="Arial" w:cs="Arial"/>
          <w:color w:val="192A67"/>
          <w:sz w:val="20"/>
          <w:szCs w:val="20"/>
        </w:rPr>
        <w:t xml:space="preserve"> provide those services.</w:t>
      </w:r>
    </w:p>
    <w:p w14:paraId="5CB4E448" w14:textId="77777777" w:rsidR="00500545" w:rsidRPr="00500545" w:rsidRDefault="00500545" w:rsidP="00500545">
      <w:pPr>
        <w:rPr>
          <w:rFonts w:ascii="Arial" w:hAnsi="Arial" w:cs="Arial"/>
          <w:color w:val="192A67"/>
          <w:sz w:val="20"/>
          <w:szCs w:val="20"/>
        </w:rPr>
      </w:pPr>
      <w:r w:rsidRPr="00500545">
        <w:rPr>
          <w:rFonts w:ascii="Arial" w:hAnsi="Arial" w:cs="Arial"/>
          <w:color w:val="192A67"/>
          <w:sz w:val="20"/>
          <w:szCs w:val="20"/>
        </w:rPr>
        <w:t>TPB CPE must help you maintain the currency of your knowledge and skills relevant to your services as a registered tax professional.</w:t>
      </w:r>
    </w:p>
    <w:p w14:paraId="689834D2" w14:textId="77777777" w:rsidR="00500545" w:rsidRPr="00500545" w:rsidRDefault="00500545" w:rsidP="00500545">
      <w:pPr>
        <w:rPr>
          <w:rFonts w:ascii="Arial" w:hAnsi="Arial" w:cs="Arial"/>
          <w:color w:val="192A67"/>
          <w:sz w:val="20"/>
          <w:szCs w:val="20"/>
        </w:rPr>
      </w:pPr>
      <w:r w:rsidRPr="00500545">
        <w:rPr>
          <w:rFonts w:ascii="Arial" w:hAnsi="Arial" w:cs="Arial"/>
          <w:color w:val="192A67"/>
          <w:sz w:val="20"/>
          <w:szCs w:val="20"/>
        </w:rPr>
        <w:t xml:space="preserve">The definition of CPD for AAT members allows for a wider range of activities than the TPB, so you may need to differentiate between CPE for TPB purposes and AAT membership. </w:t>
      </w:r>
    </w:p>
    <w:p w14:paraId="5DBCE24A" w14:textId="77777777" w:rsidR="00500545" w:rsidRPr="00500545" w:rsidRDefault="00500545" w:rsidP="00500545">
      <w:pPr>
        <w:rPr>
          <w:rFonts w:ascii="Arial" w:hAnsi="Arial" w:cs="Arial"/>
          <w:color w:val="192A67"/>
          <w:sz w:val="20"/>
          <w:szCs w:val="20"/>
        </w:rPr>
      </w:pPr>
      <w:r w:rsidRPr="00500545">
        <w:rPr>
          <w:rFonts w:ascii="Arial" w:hAnsi="Arial" w:cs="Arial"/>
          <w:color w:val="192A67"/>
          <w:sz w:val="20"/>
          <w:szCs w:val="20"/>
        </w:rPr>
        <w:t>Relevant activities could include:</w:t>
      </w:r>
    </w:p>
    <w:p w14:paraId="32421836" w14:textId="77777777" w:rsidR="00500545" w:rsidRPr="00500545" w:rsidRDefault="00500545" w:rsidP="00500545">
      <w:pPr>
        <w:pStyle w:val="ListParagraph"/>
        <w:numPr>
          <w:ilvl w:val="0"/>
          <w:numId w:val="4"/>
        </w:numPr>
        <w:rPr>
          <w:rFonts w:ascii="Arial" w:eastAsiaTheme="minorHAnsi" w:hAnsi="Arial" w:cs="Arial"/>
          <w:color w:val="192A67"/>
          <w:sz w:val="20"/>
          <w:szCs w:val="20"/>
          <w:lang w:eastAsia="en-US"/>
        </w:rPr>
      </w:pPr>
      <w:r w:rsidRPr="00500545">
        <w:rPr>
          <w:rFonts w:ascii="Arial" w:eastAsiaTheme="minorHAnsi" w:hAnsi="Arial" w:cs="Arial"/>
          <w:color w:val="192A67"/>
          <w:sz w:val="20"/>
          <w:szCs w:val="20"/>
          <w:lang w:eastAsia="en-US"/>
        </w:rPr>
        <w:t xml:space="preserve">Software training that is related to the provision of BAS </w:t>
      </w:r>
      <w:proofErr w:type="gramStart"/>
      <w:r w:rsidRPr="00500545">
        <w:rPr>
          <w:rFonts w:ascii="Arial" w:eastAsiaTheme="minorHAnsi" w:hAnsi="Arial" w:cs="Arial"/>
          <w:color w:val="192A67"/>
          <w:sz w:val="20"/>
          <w:szCs w:val="20"/>
          <w:lang w:eastAsia="en-US"/>
        </w:rPr>
        <w:t>services</w:t>
      </w:r>
      <w:proofErr w:type="gramEnd"/>
    </w:p>
    <w:p w14:paraId="2CA7959A" w14:textId="77777777" w:rsidR="00500545" w:rsidRPr="00500545" w:rsidRDefault="00500545" w:rsidP="00500545">
      <w:pPr>
        <w:pStyle w:val="ListParagraph"/>
        <w:numPr>
          <w:ilvl w:val="0"/>
          <w:numId w:val="4"/>
        </w:numPr>
        <w:rPr>
          <w:rFonts w:ascii="Arial" w:eastAsiaTheme="minorHAnsi" w:hAnsi="Arial" w:cs="Arial"/>
          <w:color w:val="192A67"/>
          <w:sz w:val="20"/>
          <w:szCs w:val="20"/>
          <w:lang w:eastAsia="en-US"/>
        </w:rPr>
      </w:pPr>
      <w:r w:rsidRPr="00500545">
        <w:rPr>
          <w:rFonts w:ascii="Arial" w:eastAsiaTheme="minorHAnsi" w:hAnsi="Arial" w:cs="Arial"/>
          <w:color w:val="192A67"/>
          <w:sz w:val="20"/>
          <w:szCs w:val="20"/>
          <w:lang w:eastAsia="en-US"/>
        </w:rPr>
        <w:t>Cyber security training</w:t>
      </w:r>
    </w:p>
    <w:p w14:paraId="34230173" w14:textId="77777777" w:rsidR="00500545" w:rsidRPr="00500545" w:rsidRDefault="00500545" w:rsidP="00500545">
      <w:pPr>
        <w:pStyle w:val="ListParagraph"/>
        <w:numPr>
          <w:ilvl w:val="0"/>
          <w:numId w:val="4"/>
        </w:numPr>
        <w:rPr>
          <w:rFonts w:ascii="Arial" w:eastAsiaTheme="minorHAnsi" w:hAnsi="Arial" w:cs="Arial"/>
          <w:color w:val="192A67"/>
          <w:sz w:val="20"/>
          <w:szCs w:val="20"/>
          <w:lang w:eastAsia="en-US"/>
        </w:rPr>
      </w:pPr>
      <w:r w:rsidRPr="00500545">
        <w:rPr>
          <w:rFonts w:ascii="Arial" w:eastAsiaTheme="minorHAnsi" w:hAnsi="Arial" w:cs="Arial"/>
          <w:color w:val="192A67"/>
          <w:sz w:val="20"/>
          <w:szCs w:val="20"/>
          <w:lang w:eastAsia="en-US"/>
        </w:rPr>
        <w:t>Courses or workshops in specialised areas of GST or payroll</w:t>
      </w:r>
    </w:p>
    <w:p w14:paraId="3DFB5DB6" w14:textId="77777777" w:rsidR="00500545" w:rsidRPr="00500545" w:rsidRDefault="00500545" w:rsidP="00500545">
      <w:pPr>
        <w:pStyle w:val="ListParagraph"/>
        <w:numPr>
          <w:ilvl w:val="0"/>
          <w:numId w:val="4"/>
        </w:numPr>
        <w:rPr>
          <w:rFonts w:ascii="Arial" w:eastAsiaTheme="minorHAnsi" w:hAnsi="Arial" w:cs="Arial"/>
          <w:color w:val="192A67"/>
          <w:sz w:val="20"/>
          <w:szCs w:val="20"/>
          <w:lang w:eastAsia="en-US"/>
        </w:rPr>
      </w:pPr>
      <w:r w:rsidRPr="00500545">
        <w:rPr>
          <w:rFonts w:ascii="Arial" w:eastAsiaTheme="minorHAnsi" w:hAnsi="Arial" w:cs="Arial"/>
          <w:color w:val="192A67"/>
          <w:sz w:val="20"/>
          <w:szCs w:val="20"/>
          <w:lang w:eastAsia="en-US"/>
        </w:rPr>
        <w:t xml:space="preserve">Webinars explaining new </w:t>
      </w:r>
      <w:proofErr w:type="gramStart"/>
      <w:r w:rsidRPr="00500545">
        <w:rPr>
          <w:rFonts w:ascii="Arial" w:eastAsiaTheme="minorHAnsi" w:hAnsi="Arial" w:cs="Arial"/>
          <w:color w:val="192A67"/>
          <w:sz w:val="20"/>
          <w:szCs w:val="20"/>
          <w:lang w:eastAsia="en-US"/>
        </w:rPr>
        <w:t>legislation</w:t>
      </w:r>
      <w:proofErr w:type="gramEnd"/>
    </w:p>
    <w:p w14:paraId="6F46ED26" w14:textId="77777777" w:rsidR="00500545" w:rsidRPr="00500545" w:rsidRDefault="00500545" w:rsidP="00500545">
      <w:pPr>
        <w:pStyle w:val="ListParagraph"/>
        <w:numPr>
          <w:ilvl w:val="0"/>
          <w:numId w:val="4"/>
        </w:numPr>
        <w:rPr>
          <w:rFonts w:ascii="Arial" w:eastAsiaTheme="minorHAnsi" w:hAnsi="Arial" w:cs="Arial"/>
          <w:color w:val="192A67"/>
          <w:sz w:val="20"/>
          <w:szCs w:val="20"/>
          <w:lang w:eastAsia="en-US"/>
        </w:rPr>
      </w:pPr>
      <w:r w:rsidRPr="00500545">
        <w:rPr>
          <w:rFonts w:ascii="Arial" w:eastAsiaTheme="minorHAnsi" w:hAnsi="Arial" w:cs="Arial"/>
          <w:color w:val="192A67"/>
          <w:sz w:val="20"/>
          <w:szCs w:val="20"/>
          <w:lang w:eastAsia="en-US"/>
        </w:rPr>
        <w:t>Practical application of the Code of Professional Conduct in relation to BAS services</w:t>
      </w:r>
    </w:p>
    <w:p w14:paraId="0F04C970" w14:textId="77777777" w:rsidR="00500545" w:rsidRPr="00500545" w:rsidRDefault="00500545" w:rsidP="00500545">
      <w:pPr>
        <w:pStyle w:val="ListParagraph"/>
        <w:numPr>
          <w:ilvl w:val="0"/>
          <w:numId w:val="4"/>
        </w:numPr>
        <w:rPr>
          <w:rFonts w:ascii="Arial" w:eastAsiaTheme="minorHAnsi" w:hAnsi="Arial" w:cs="Arial"/>
          <w:color w:val="192A67"/>
          <w:sz w:val="20"/>
          <w:szCs w:val="20"/>
          <w:lang w:eastAsia="en-US"/>
        </w:rPr>
      </w:pPr>
      <w:r w:rsidRPr="00500545">
        <w:rPr>
          <w:rFonts w:ascii="Arial" w:eastAsiaTheme="minorHAnsi" w:hAnsi="Arial" w:cs="Arial"/>
          <w:color w:val="192A67"/>
          <w:sz w:val="20"/>
          <w:szCs w:val="20"/>
          <w:lang w:eastAsia="en-US"/>
        </w:rPr>
        <w:t>Technical reading (maximum of 25% of CPE hours)</w:t>
      </w:r>
    </w:p>
    <w:p w14:paraId="45B08044" w14:textId="77777777" w:rsidR="00500545" w:rsidRPr="00500545" w:rsidRDefault="00500545" w:rsidP="00500545">
      <w:pPr>
        <w:pStyle w:val="ListParagraph"/>
        <w:numPr>
          <w:ilvl w:val="0"/>
          <w:numId w:val="4"/>
        </w:numPr>
        <w:rPr>
          <w:rFonts w:ascii="Arial" w:eastAsiaTheme="minorHAnsi" w:hAnsi="Arial" w:cs="Arial"/>
          <w:color w:val="192A67"/>
          <w:sz w:val="20"/>
          <w:szCs w:val="20"/>
          <w:lang w:eastAsia="en-US"/>
        </w:rPr>
      </w:pPr>
      <w:r w:rsidRPr="00500545">
        <w:rPr>
          <w:rFonts w:ascii="Arial" w:eastAsiaTheme="minorHAnsi" w:hAnsi="Arial" w:cs="Arial"/>
          <w:color w:val="192A67"/>
          <w:sz w:val="20"/>
          <w:szCs w:val="20"/>
          <w:lang w:eastAsia="en-US"/>
        </w:rPr>
        <w:t>Health and wellbeing activities such as learning about stress management or flexible workplace health arrangements (maximum of 10% of CPE hours)</w:t>
      </w:r>
    </w:p>
    <w:p w14:paraId="1F357B7C" w14:textId="77777777" w:rsidR="00500545" w:rsidRDefault="00500545" w:rsidP="00500545">
      <w:pPr>
        <w:pStyle w:val="ListParagraph"/>
        <w:rPr>
          <w:rFonts w:cs="Tahoma"/>
        </w:rPr>
      </w:pPr>
    </w:p>
    <w:p w14:paraId="61CF0229" w14:textId="77777777" w:rsidR="00500545" w:rsidRDefault="00500545" w:rsidP="00500545">
      <w:pPr>
        <w:pStyle w:val="ListParagraph"/>
        <w:ind w:left="0"/>
        <w:rPr>
          <w:rFonts w:cs="Tahoma"/>
        </w:rPr>
      </w:pPr>
      <w:r w:rsidRPr="00500545">
        <w:rPr>
          <w:rFonts w:ascii="Arial" w:eastAsiaTheme="minorHAnsi" w:hAnsi="Arial" w:cs="Arial"/>
          <w:color w:val="192A67"/>
          <w:sz w:val="20"/>
          <w:szCs w:val="20"/>
          <w:lang w:eastAsia="en-US"/>
        </w:rPr>
        <w:t>We’d love to hear from you – what topics would you like AAT to offer professional education and development on? This could be either TPB related CPE or general CPD for AAT members. Email us with your suggestions</w:t>
      </w:r>
      <w:r>
        <w:rPr>
          <w:rFonts w:cs="Tahoma"/>
        </w:rPr>
        <w:t xml:space="preserve"> </w:t>
      </w:r>
      <w:hyperlink r:id="rId9" w:history="1">
        <w:r w:rsidRPr="00500545">
          <w:rPr>
            <w:rStyle w:val="Hyperlink"/>
            <w:rFonts w:ascii="Arial" w:hAnsi="Arial" w:cs="Arial"/>
            <w:color w:val="006600"/>
            <w:sz w:val="22"/>
            <w:szCs w:val="22"/>
          </w:rPr>
          <w:t>here</w:t>
        </w:r>
      </w:hyperlink>
      <w:r>
        <w:rPr>
          <w:rFonts w:cs="Tahoma"/>
        </w:rPr>
        <w:t>.</w:t>
      </w:r>
    </w:p>
    <w:p w14:paraId="5D92CEFC" w14:textId="77777777" w:rsidR="00500545" w:rsidRPr="001C4ECB" w:rsidRDefault="00500545" w:rsidP="00500545">
      <w:pPr>
        <w:rPr>
          <w:rFonts w:cs="Tahoma"/>
        </w:rPr>
      </w:pPr>
    </w:p>
    <w:p w14:paraId="641B8F8F" w14:textId="77777777" w:rsidR="00500545" w:rsidRPr="00500545" w:rsidRDefault="00500545" w:rsidP="00500545">
      <w:pPr>
        <w:rPr>
          <w:rFonts w:ascii="Arial" w:hAnsi="Arial" w:cs="Arial"/>
          <w:color w:val="006600"/>
        </w:rPr>
      </w:pPr>
      <w:hyperlink r:id="rId10" w:history="1">
        <w:r w:rsidRPr="00500545">
          <w:rPr>
            <w:rStyle w:val="Hyperlink"/>
            <w:rFonts w:ascii="Arial" w:hAnsi="Arial" w:cs="Arial"/>
            <w:color w:val="006600"/>
          </w:rPr>
          <w:t>TPB – CPE Requirements for tax and BAS agents from 1 July 2022</w:t>
        </w:r>
      </w:hyperlink>
    </w:p>
    <w:p w14:paraId="7795311C" w14:textId="77777777" w:rsidR="00500545" w:rsidRPr="004431A4" w:rsidRDefault="00500545" w:rsidP="005676B1">
      <w:pPr>
        <w:rPr>
          <w:rFonts w:ascii="Arial" w:hAnsi="Arial" w:cs="Arial"/>
          <w:color w:val="192A67"/>
          <w:sz w:val="20"/>
          <w:szCs w:val="20"/>
        </w:rPr>
      </w:pPr>
    </w:p>
    <w:sectPr w:rsidR="00500545" w:rsidRPr="004431A4" w:rsidSect="005676B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77D8C125" w:rsidR="005676B1" w:rsidRDefault="00500545" w:rsidP="00284AAE">
    <w:pPr>
      <w:pStyle w:val="Header"/>
      <w:jc w:val="right"/>
      <w:rPr>
        <w:rFonts w:ascii="Arial" w:hAnsi="Arial" w:cs="Arial"/>
        <w:sz w:val="20"/>
        <w:szCs w:val="20"/>
      </w:rPr>
    </w:pPr>
    <w:r>
      <w:rPr>
        <w:rFonts w:ascii="Arial" w:hAnsi="Arial" w:cs="Arial"/>
        <w:sz w:val="20"/>
        <w:szCs w:val="20"/>
      </w:rPr>
      <w:t>TPB Continuing professional education requirements from 1 July 2022</w:t>
    </w:r>
  </w:p>
  <w:p w14:paraId="7217A066" w14:textId="038E4C27" w:rsidR="00284AAE" w:rsidRPr="00284AAE" w:rsidRDefault="00500545"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D8"/>
    <w:multiLevelType w:val="hybridMultilevel"/>
    <w:tmpl w:val="AF28FD58"/>
    <w:lvl w:ilvl="0" w:tplc="B0DC637A">
      <w:start w:val="1"/>
      <w:numFmt w:val="bullet"/>
      <w:lvlText w:val=""/>
      <w:lvlJc w:val="left"/>
      <w:pPr>
        <w:ind w:left="720" w:hanging="360"/>
      </w:pPr>
      <w:rPr>
        <w:rFonts w:ascii="Symbol" w:hAnsi="Symbol" w:hint="default"/>
      </w:rPr>
    </w:lvl>
    <w:lvl w:ilvl="1" w:tplc="99909538" w:tentative="1">
      <w:start w:val="1"/>
      <w:numFmt w:val="bullet"/>
      <w:lvlText w:val="o"/>
      <w:lvlJc w:val="left"/>
      <w:pPr>
        <w:ind w:left="1440" w:hanging="360"/>
      </w:pPr>
      <w:rPr>
        <w:rFonts w:ascii="Courier New" w:hAnsi="Courier New" w:cs="Courier New" w:hint="default"/>
      </w:rPr>
    </w:lvl>
    <w:lvl w:ilvl="2" w:tplc="34201CD6" w:tentative="1">
      <w:start w:val="1"/>
      <w:numFmt w:val="bullet"/>
      <w:lvlText w:val=""/>
      <w:lvlJc w:val="left"/>
      <w:pPr>
        <w:ind w:left="2160" w:hanging="360"/>
      </w:pPr>
      <w:rPr>
        <w:rFonts w:ascii="Wingdings" w:hAnsi="Wingdings" w:hint="default"/>
      </w:rPr>
    </w:lvl>
    <w:lvl w:ilvl="3" w:tplc="8ABCF1DC" w:tentative="1">
      <w:start w:val="1"/>
      <w:numFmt w:val="bullet"/>
      <w:lvlText w:val=""/>
      <w:lvlJc w:val="left"/>
      <w:pPr>
        <w:ind w:left="2880" w:hanging="360"/>
      </w:pPr>
      <w:rPr>
        <w:rFonts w:ascii="Symbol" w:hAnsi="Symbol" w:hint="default"/>
      </w:rPr>
    </w:lvl>
    <w:lvl w:ilvl="4" w:tplc="101C872A" w:tentative="1">
      <w:start w:val="1"/>
      <w:numFmt w:val="bullet"/>
      <w:lvlText w:val="o"/>
      <w:lvlJc w:val="left"/>
      <w:pPr>
        <w:ind w:left="3600" w:hanging="360"/>
      </w:pPr>
      <w:rPr>
        <w:rFonts w:ascii="Courier New" w:hAnsi="Courier New" w:cs="Courier New" w:hint="default"/>
      </w:rPr>
    </w:lvl>
    <w:lvl w:ilvl="5" w:tplc="D14250E4" w:tentative="1">
      <w:start w:val="1"/>
      <w:numFmt w:val="bullet"/>
      <w:lvlText w:val=""/>
      <w:lvlJc w:val="left"/>
      <w:pPr>
        <w:ind w:left="4320" w:hanging="360"/>
      </w:pPr>
      <w:rPr>
        <w:rFonts w:ascii="Wingdings" w:hAnsi="Wingdings" w:hint="default"/>
      </w:rPr>
    </w:lvl>
    <w:lvl w:ilvl="6" w:tplc="BF886534" w:tentative="1">
      <w:start w:val="1"/>
      <w:numFmt w:val="bullet"/>
      <w:lvlText w:val=""/>
      <w:lvlJc w:val="left"/>
      <w:pPr>
        <w:ind w:left="5040" w:hanging="360"/>
      </w:pPr>
      <w:rPr>
        <w:rFonts w:ascii="Symbol" w:hAnsi="Symbol" w:hint="default"/>
      </w:rPr>
    </w:lvl>
    <w:lvl w:ilvl="7" w:tplc="19763C7E" w:tentative="1">
      <w:start w:val="1"/>
      <w:numFmt w:val="bullet"/>
      <w:lvlText w:val="o"/>
      <w:lvlJc w:val="left"/>
      <w:pPr>
        <w:ind w:left="5760" w:hanging="360"/>
      </w:pPr>
      <w:rPr>
        <w:rFonts w:ascii="Courier New" w:hAnsi="Courier New" w:cs="Courier New" w:hint="default"/>
      </w:rPr>
    </w:lvl>
    <w:lvl w:ilvl="8" w:tplc="3CD07B4C" w:tentative="1">
      <w:start w:val="1"/>
      <w:numFmt w:val="bullet"/>
      <w:lvlText w:val=""/>
      <w:lvlJc w:val="left"/>
      <w:pPr>
        <w:ind w:left="6480" w:hanging="360"/>
      </w:pPr>
      <w:rPr>
        <w:rFonts w:ascii="Wingdings" w:hAnsi="Wingdings" w:hint="default"/>
      </w:rPr>
    </w:lvl>
  </w:abstractNum>
  <w:abstractNum w:abstractNumId="1" w15:restartNumberingAfterBreak="0">
    <w:nsid w:val="0CB51FC7"/>
    <w:multiLevelType w:val="hybridMultilevel"/>
    <w:tmpl w:val="8176FC98"/>
    <w:lvl w:ilvl="0" w:tplc="47A2A3DA">
      <w:start w:val="1"/>
      <w:numFmt w:val="bullet"/>
      <w:lvlText w:val=""/>
      <w:lvlJc w:val="left"/>
      <w:pPr>
        <w:ind w:left="720" w:hanging="360"/>
      </w:pPr>
      <w:rPr>
        <w:rFonts w:ascii="Symbol" w:hAnsi="Symbol" w:hint="default"/>
      </w:rPr>
    </w:lvl>
    <w:lvl w:ilvl="1" w:tplc="880EEE1A" w:tentative="1">
      <w:start w:val="1"/>
      <w:numFmt w:val="bullet"/>
      <w:lvlText w:val="o"/>
      <w:lvlJc w:val="left"/>
      <w:pPr>
        <w:ind w:left="1440" w:hanging="360"/>
      </w:pPr>
      <w:rPr>
        <w:rFonts w:ascii="Courier New" w:hAnsi="Courier New" w:cs="Courier New" w:hint="default"/>
      </w:rPr>
    </w:lvl>
    <w:lvl w:ilvl="2" w:tplc="E8F49E9E" w:tentative="1">
      <w:start w:val="1"/>
      <w:numFmt w:val="bullet"/>
      <w:lvlText w:val=""/>
      <w:lvlJc w:val="left"/>
      <w:pPr>
        <w:ind w:left="2160" w:hanging="360"/>
      </w:pPr>
      <w:rPr>
        <w:rFonts w:ascii="Wingdings" w:hAnsi="Wingdings" w:hint="default"/>
      </w:rPr>
    </w:lvl>
    <w:lvl w:ilvl="3" w:tplc="8812B282" w:tentative="1">
      <w:start w:val="1"/>
      <w:numFmt w:val="bullet"/>
      <w:lvlText w:val=""/>
      <w:lvlJc w:val="left"/>
      <w:pPr>
        <w:ind w:left="2880" w:hanging="360"/>
      </w:pPr>
      <w:rPr>
        <w:rFonts w:ascii="Symbol" w:hAnsi="Symbol" w:hint="default"/>
      </w:rPr>
    </w:lvl>
    <w:lvl w:ilvl="4" w:tplc="C7DAB2CA" w:tentative="1">
      <w:start w:val="1"/>
      <w:numFmt w:val="bullet"/>
      <w:lvlText w:val="o"/>
      <w:lvlJc w:val="left"/>
      <w:pPr>
        <w:ind w:left="3600" w:hanging="360"/>
      </w:pPr>
      <w:rPr>
        <w:rFonts w:ascii="Courier New" w:hAnsi="Courier New" w:cs="Courier New" w:hint="default"/>
      </w:rPr>
    </w:lvl>
    <w:lvl w:ilvl="5" w:tplc="74FE9F4C" w:tentative="1">
      <w:start w:val="1"/>
      <w:numFmt w:val="bullet"/>
      <w:lvlText w:val=""/>
      <w:lvlJc w:val="left"/>
      <w:pPr>
        <w:ind w:left="4320" w:hanging="360"/>
      </w:pPr>
      <w:rPr>
        <w:rFonts w:ascii="Wingdings" w:hAnsi="Wingdings" w:hint="default"/>
      </w:rPr>
    </w:lvl>
    <w:lvl w:ilvl="6" w:tplc="A6F8E1FA" w:tentative="1">
      <w:start w:val="1"/>
      <w:numFmt w:val="bullet"/>
      <w:lvlText w:val=""/>
      <w:lvlJc w:val="left"/>
      <w:pPr>
        <w:ind w:left="5040" w:hanging="360"/>
      </w:pPr>
      <w:rPr>
        <w:rFonts w:ascii="Symbol" w:hAnsi="Symbol" w:hint="default"/>
      </w:rPr>
    </w:lvl>
    <w:lvl w:ilvl="7" w:tplc="E59E78DC" w:tentative="1">
      <w:start w:val="1"/>
      <w:numFmt w:val="bullet"/>
      <w:lvlText w:val="o"/>
      <w:lvlJc w:val="left"/>
      <w:pPr>
        <w:ind w:left="5760" w:hanging="360"/>
      </w:pPr>
      <w:rPr>
        <w:rFonts w:ascii="Courier New" w:hAnsi="Courier New" w:cs="Courier New" w:hint="default"/>
      </w:rPr>
    </w:lvl>
    <w:lvl w:ilvl="8" w:tplc="1FE86050" w:tentative="1">
      <w:start w:val="1"/>
      <w:numFmt w:val="bullet"/>
      <w:lvlText w:val=""/>
      <w:lvlJc w:val="left"/>
      <w:pPr>
        <w:ind w:left="6480" w:hanging="360"/>
      </w:pPr>
      <w:rPr>
        <w:rFonts w:ascii="Wingdings" w:hAnsi="Wingdings" w:hint="default"/>
      </w:rPr>
    </w:lvl>
  </w:abstractNum>
  <w:abstractNum w:abstractNumId="2" w15:restartNumberingAfterBreak="0">
    <w:nsid w:val="422243CE"/>
    <w:multiLevelType w:val="hybridMultilevel"/>
    <w:tmpl w:val="F82C3968"/>
    <w:lvl w:ilvl="0" w:tplc="0E32F17E">
      <w:start w:val="1"/>
      <w:numFmt w:val="bullet"/>
      <w:lvlText w:val=""/>
      <w:lvlJc w:val="left"/>
      <w:pPr>
        <w:ind w:left="720" w:hanging="360"/>
      </w:pPr>
      <w:rPr>
        <w:rFonts w:ascii="Symbol" w:hAnsi="Symbol" w:hint="default"/>
      </w:rPr>
    </w:lvl>
    <w:lvl w:ilvl="1" w:tplc="0F245AE2" w:tentative="1">
      <w:start w:val="1"/>
      <w:numFmt w:val="bullet"/>
      <w:lvlText w:val="o"/>
      <w:lvlJc w:val="left"/>
      <w:pPr>
        <w:ind w:left="1440" w:hanging="360"/>
      </w:pPr>
      <w:rPr>
        <w:rFonts w:ascii="Courier New" w:hAnsi="Courier New" w:cs="Courier New" w:hint="default"/>
      </w:rPr>
    </w:lvl>
    <w:lvl w:ilvl="2" w:tplc="EE722BCE" w:tentative="1">
      <w:start w:val="1"/>
      <w:numFmt w:val="bullet"/>
      <w:lvlText w:val=""/>
      <w:lvlJc w:val="left"/>
      <w:pPr>
        <w:ind w:left="2160" w:hanging="360"/>
      </w:pPr>
      <w:rPr>
        <w:rFonts w:ascii="Wingdings" w:hAnsi="Wingdings" w:hint="default"/>
      </w:rPr>
    </w:lvl>
    <w:lvl w:ilvl="3" w:tplc="ED14BAA4" w:tentative="1">
      <w:start w:val="1"/>
      <w:numFmt w:val="bullet"/>
      <w:lvlText w:val=""/>
      <w:lvlJc w:val="left"/>
      <w:pPr>
        <w:ind w:left="2880" w:hanging="360"/>
      </w:pPr>
      <w:rPr>
        <w:rFonts w:ascii="Symbol" w:hAnsi="Symbol" w:hint="default"/>
      </w:rPr>
    </w:lvl>
    <w:lvl w:ilvl="4" w:tplc="A832F1C4" w:tentative="1">
      <w:start w:val="1"/>
      <w:numFmt w:val="bullet"/>
      <w:lvlText w:val="o"/>
      <w:lvlJc w:val="left"/>
      <w:pPr>
        <w:ind w:left="3600" w:hanging="360"/>
      </w:pPr>
      <w:rPr>
        <w:rFonts w:ascii="Courier New" w:hAnsi="Courier New" w:cs="Courier New" w:hint="default"/>
      </w:rPr>
    </w:lvl>
    <w:lvl w:ilvl="5" w:tplc="963AD954" w:tentative="1">
      <w:start w:val="1"/>
      <w:numFmt w:val="bullet"/>
      <w:lvlText w:val=""/>
      <w:lvlJc w:val="left"/>
      <w:pPr>
        <w:ind w:left="4320" w:hanging="360"/>
      </w:pPr>
      <w:rPr>
        <w:rFonts w:ascii="Wingdings" w:hAnsi="Wingdings" w:hint="default"/>
      </w:rPr>
    </w:lvl>
    <w:lvl w:ilvl="6" w:tplc="E914597A" w:tentative="1">
      <w:start w:val="1"/>
      <w:numFmt w:val="bullet"/>
      <w:lvlText w:val=""/>
      <w:lvlJc w:val="left"/>
      <w:pPr>
        <w:ind w:left="5040" w:hanging="360"/>
      </w:pPr>
      <w:rPr>
        <w:rFonts w:ascii="Symbol" w:hAnsi="Symbol" w:hint="default"/>
      </w:rPr>
    </w:lvl>
    <w:lvl w:ilvl="7" w:tplc="F5E28026" w:tentative="1">
      <w:start w:val="1"/>
      <w:numFmt w:val="bullet"/>
      <w:lvlText w:val="o"/>
      <w:lvlJc w:val="left"/>
      <w:pPr>
        <w:ind w:left="5760" w:hanging="360"/>
      </w:pPr>
      <w:rPr>
        <w:rFonts w:ascii="Courier New" w:hAnsi="Courier New" w:cs="Courier New" w:hint="default"/>
      </w:rPr>
    </w:lvl>
    <w:lvl w:ilvl="8" w:tplc="A878B734" w:tentative="1">
      <w:start w:val="1"/>
      <w:numFmt w:val="bullet"/>
      <w:lvlText w:val=""/>
      <w:lvlJc w:val="left"/>
      <w:pPr>
        <w:ind w:left="6480" w:hanging="360"/>
      </w:pPr>
      <w:rPr>
        <w:rFonts w:ascii="Wingdings" w:hAnsi="Wingdings" w:hint="default"/>
      </w:rPr>
    </w:lvl>
  </w:abstractNum>
  <w:abstractNum w:abstractNumId="3" w15:restartNumberingAfterBreak="0">
    <w:nsid w:val="5577079E"/>
    <w:multiLevelType w:val="hybridMultilevel"/>
    <w:tmpl w:val="DC7E4BC8"/>
    <w:lvl w:ilvl="0" w:tplc="326829D0">
      <w:start w:val="1"/>
      <w:numFmt w:val="bullet"/>
      <w:lvlText w:val=""/>
      <w:lvlJc w:val="left"/>
      <w:pPr>
        <w:ind w:left="720" w:hanging="360"/>
      </w:pPr>
      <w:rPr>
        <w:rFonts w:ascii="Symbol" w:hAnsi="Symbol" w:hint="default"/>
      </w:rPr>
    </w:lvl>
    <w:lvl w:ilvl="1" w:tplc="75641300" w:tentative="1">
      <w:start w:val="1"/>
      <w:numFmt w:val="bullet"/>
      <w:lvlText w:val="o"/>
      <w:lvlJc w:val="left"/>
      <w:pPr>
        <w:ind w:left="1440" w:hanging="360"/>
      </w:pPr>
      <w:rPr>
        <w:rFonts w:ascii="Courier New" w:hAnsi="Courier New" w:cs="Courier New" w:hint="default"/>
      </w:rPr>
    </w:lvl>
    <w:lvl w:ilvl="2" w:tplc="5950EA8E" w:tentative="1">
      <w:start w:val="1"/>
      <w:numFmt w:val="bullet"/>
      <w:lvlText w:val=""/>
      <w:lvlJc w:val="left"/>
      <w:pPr>
        <w:ind w:left="2160" w:hanging="360"/>
      </w:pPr>
      <w:rPr>
        <w:rFonts w:ascii="Wingdings" w:hAnsi="Wingdings" w:hint="default"/>
      </w:rPr>
    </w:lvl>
    <w:lvl w:ilvl="3" w:tplc="EB5AA214" w:tentative="1">
      <w:start w:val="1"/>
      <w:numFmt w:val="bullet"/>
      <w:lvlText w:val=""/>
      <w:lvlJc w:val="left"/>
      <w:pPr>
        <w:ind w:left="2880" w:hanging="360"/>
      </w:pPr>
      <w:rPr>
        <w:rFonts w:ascii="Symbol" w:hAnsi="Symbol" w:hint="default"/>
      </w:rPr>
    </w:lvl>
    <w:lvl w:ilvl="4" w:tplc="7CC29F0C" w:tentative="1">
      <w:start w:val="1"/>
      <w:numFmt w:val="bullet"/>
      <w:lvlText w:val="o"/>
      <w:lvlJc w:val="left"/>
      <w:pPr>
        <w:ind w:left="3600" w:hanging="360"/>
      </w:pPr>
      <w:rPr>
        <w:rFonts w:ascii="Courier New" w:hAnsi="Courier New" w:cs="Courier New" w:hint="default"/>
      </w:rPr>
    </w:lvl>
    <w:lvl w:ilvl="5" w:tplc="3C76CD9E" w:tentative="1">
      <w:start w:val="1"/>
      <w:numFmt w:val="bullet"/>
      <w:lvlText w:val=""/>
      <w:lvlJc w:val="left"/>
      <w:pPr>
        <w:ind w:left="4320" w:hanging="360"/>
      </w:pPr>
      <w:rPr>
        <w:rFonts w:ascii="Wingdings" w:hAnsi="Wingdings" w:hint="default"/>
      </w:rPr>
    </w:lvl>
    <w:lvl w:ilvl="6" w:tplc="C4A6B758" w:tentative="1">
      <w:start w:val="1"/>
      <w:numFmt w:val="bullet"/>
      <w:lvlText w:val=""/>
      <w:lvlJc w:val="left"/>
      <w:pPr>
        <w:ind w:left="5040" w:hanging="360"/>
      </w:pPr>
      <w:rPr>
        <w:rFonts w:ascii="Symbol" w:hAnsi="Symbol" w:hint="default"/>
      </w:rPr>
    </w:lvl>
    <w:lvl w:ilvl="7" w:tplc="4DE6F436" w:tentative="1">
      <w:start w:val="1"/>
      <w:numFmt w:val="bullet"/>
      <w:lvlText w:val="o"/>
      <w:lvlJc w:val="left"/>
      <w:pPr>
        <w:ind w:left="5760" w:hanging="360"/>
      </w:pPr>
      <w:rPr>
        <w:rFonts w:ascii="Courier New" w:hAnsi="Courier New" w:cs="Courier New" w:hint="default"/>
      </w:rPr>
    </w:lvl>
    <w:lvl w:ilvl="8" w:tplc="3EB2A630" w:tentative="1">
      <w:start w:val="1"/>
      <w:numFmt w:val="bullet"/>
      <w:lvlText w:val=""/>
      <w:lvlJc w:val="left"/>
      <w:pPr>
        <w:ind w:left="6480" w:hanging="360"/>
      </w:pPr>
      <w:rPr>
        <w:rFonts w:ascii="Wingdings" w:hAnsi="Wingdings" w:hint="default"/>
      </w:rPr>
    </w:lvl>
  </w:abstractNum>
  <w:num w:numId="1" w16cid:durableId="2027175043">
    <w:abstractNumId w:val="0"/>
  </w:num>
  <w:num w:numId="2" w16cid:durableId="1237862539">
    <w:abstractNumId w:val="3"/>
  </w:num>
  <w:num w:numId="3" w16cid:durableId="2089838455">
    <w:abstractNumId w:val="1"/>
  </w:num>
  <w:num w:numId="4" w16cid:durableId="64499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4431A4"/>
    <w:rsid w:val="0049342F"/>
    <w:rsid w:val="00500545"/>
    <w:rsid w:val="00537617"/>
    <w:rsid w:val="005676B1"/>
    <w:rsid w:val="00814EB2"/>
    <w:rsid w:val="008840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88408A"/>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4431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tpb.gov.au/explanatory-paper-tpbep-072021-cpe-requirements-tax-and-bas-agents-1-july-2022" TargetMode="External"/><Relationship Id="rId4" Type="http://schemas.openxmlformats.org/officeDocument/2006/relationships/styles" Target="styles.xml"/><Relationship Id="rId9" Type="http://schemas.openxmlformats.org/officeDocument/2006/relationships/hyperlink" Target="mailto:jo.voight@aat.org.au?subject=CPE%20Suggestions"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2.xml><?xml version="1.0" encoding="utf-8"?>
<ds:datastoreItem xmlns:ds="http://schemas.openxmlformats.org/officeDocument/2006/customXml" ds:itemID="{E3952642-9BFC-404B-8CAF-105E80DEA577}"/>
</file>

<file path=customXml/itemProps3.xml><?xml version="1.0" encoding="utf-8"?>
<ds:datastoreItem xmlns:ds="http://schemas.openxmlformats.org/officeDocument/2006/customXml" ds:itemID="{0AF48823-5C42-4E72-822F-3EBF8B2CA2D3}"/>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2105</Characters>
  <Application>Microsoft Office Word</Application>
  <DocSecurity>0</DocSecurity>
  <Lines>17</Lines>
  <Paragraphs>4</Paragraphs>
  <ScaleCrop>false</ScaleCrop>
  <Company>IPA Group</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2023-02-15T23:31:00Z</dcterms:created>
  <dcterms:modified xsi:type="dcterms:W3CDTF">2023-02-15T23:31:00Z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